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6"/>
        <w:adjustRightInd w:val="0"/>
        <w:snapToGrid w:val="0"/>
        <w:spacing w:line="360" w:lineRule="auto"/>
        <w:jc w:val="center"/>
        <w:rPr>
          <w:rFonts w:hAnsi="宋体" w:cs="宋体"/>
          <w:b/>
          <w:sz w:val="44"/>
          <w:szCs w:val="44"/>
          <w:lang w:val="zh-CN"/>
        </w:rPr>
      </w:pPr>
      <w:bookmarkStart w:id="0" w:name="_Toc22419"/>
    </w:p>
    <w:p>
      <w:pPr>
        <w:pStyle w:val="16"/>
        <w:adjustRightInd w:val="0"/>
        <w:snapToGrid w:val="0"/>
        <w:spacing w:line="360" w:lineRule="auto"/>
        <w:jc w:val="center"/>
        <w:rPr>
          <w:rFonts w:hAnsi="宋体" w:cs="宋体"/>
          <w:b/>
          <w:sz w:val="44"/>
          <w:szCs w:val="44"/>
          <w:lang w:val="zh-CN"/>
        </w:rPr>
      </w:pPr>
    </w:p>
    <w:p>
      <w:pPr>
        <w:pStyle w:val="16"/>
        <w:adjustRightInd w:val="0"/>
        <w:snapToGrid w:val="0"/>
        <w:spacing w:line="360" w:lineRule="auto"/>
        <w:jc w:val="center"/>
        <w:rPr>
          <w:rFonts w:hAnsi="宋体" w:cs="宋体"/>
          <w:b/>
          <w:kern w:val="0"/>
          <w:sz w:val="44"/>
          <w:szCs w:val="44"/>
        </w:rPr>
      </w:pPr>
      <w:r>
        <w:rPr>
          <w:rFonts w:hint="eastAsia" w:hAnsi="宋体" w:cs="宋体"/>
          <w:b/>
          <w:kern w:val="0"/>
          <w:sz w:val="52"/>
          <w:szCs w:val="52"/>
        </w:rPr>
        <w:t>中山市公共交通运输集团有限公司</w:t>
      </w:r>
    </w:p>
    <w:p>
      <w:pPr>
        <w:pStyle w:val="16"/>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中山市城市公共交通高质量发展</w:t>
      </w:r>
    </w:p>
    <w:p>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rPr>
        <w:t>研究报告服务采购项目</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1"/>
        <w:ind w:firstLine="320"/>
        <w:jc w:val="center"/>
        <w:rPr>
          <w:rFonts w:ascii="宋体" w:hAnsi="宋体" w:cs="宋体"/>
          <w:b/>
          <w:sz w:val="44"/>
          <w:szCs w:val="44"/>
          <w:lang w:val="zh-CN"/>
        </w:rPr>
      </w:pPr>
      <w:r>
        <w:rPr>
          <w:rFonts w:hint="eastAsia" w:ascii="宋体" w:hAnsi="宋体" w:cs="宋体"/>
          <w:sz w:val="32"/>
          <w:szCs w:val="32"/>
        </w:rPr>
        <w:t>2023年12月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6"/>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现就中山市公共交通运输集团有限公司中山市城市公共交通高质量发展研究报告服务采购项目进行公开采购，欢迎符合资格条件的供应商参与评选，有关事项如下：</w:t>
      </w:r>
    </w:p>
    <w:p>
      <w:pPr>
        <w:spacing w:line="5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中山市公共交通运输集团有限公司中山市城市公共交通高质量发展研究报告服务采购项目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cs="宋体"/>
          <w:sz w:val="24"/>
        </w:rPr>
        <w:t>不高于</w:t>
      </w:r>
      <w:r>
        <w:rPr>
          <w:rFonts w:ascii="Arial" w:hAnsi="Arial" w:cs="Arial"/>
          <w:sz w:val="24"/>
        </w:rPr>
        <w:t>¥</w:t>
      </w:r>
      <w:r>
        <w:rPr>
          <w:rFonts w:hint="eastAsia" w:ascii="宋体" w:hAnsi="宋体" w:cs="宋体"/>
          <w:sz w:val="24"/>
        </w:rPr>
        <w:t>122,333.33元</w:t>
      </w:r>
    </w:p>
    <w:p>
      <w:pPr>
        <w:spacing w:line="560" w:lineRule="exact"/>
        <w:ind w:firstLine="482" w:firstLineChars="200"/>
        <w:rPr>
          <w:rFonts w:ascii="宋体" w:hAnsi="宋体" w:cs="宋体"/>
          <w:b/>
          <w:bCs/>
          <w:sz w:val="24"/>
        </w:rPr>
      </w:pPr>
      <w:r>
        <w:rPr>
          <w:rFonts w:hint="eastAsia" w:ascii="宋体" w:hAnsi="宋体" w:cs="宋体"/>
          <w:b/>
          <w:bCs/>
          <w:sz w:val="24"/>
        </w:rPr>
        <w:t>五、项目内容：</w:t>
      </w:r>
    </w:p>
    <w:p>
      <w:pPr>
        <w:spacing w:line="560" w:lineRule="exact"/>
        <w:ind w:firstLine="480" w:firstLineChars="200"/>
        <w:rPr>
          <w:rFonts w:ascii="宋体" w:hAnsi="宋体" w:cs="宋体"/>
          <w:sz w:val="24"/>
        </w:rPr>
      </w:pPr>
      <w:r>
        <w:rPr>
          <w:rFonts w:hint="eastAsia" w:ascii="宋体" w:hAnsi="宋体" w:cs="宋体"/>
          <w:sz w:val="24"/>
        </w:rPr>
        <w:t>研究新形势下公共交通发展情况的变化、公交行业面临的困难，对中山公交运营情况进行深入分析、科学研判，并提出企业创新发展、增收节支措施、政府支持等建议，为推动中山公交行业健康可持续发展提供科学指引，并形成报告及PPT汇报材料，配合完成上级部门相关调研及汇报工作。</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ascii="宋体" w:hAnsi="宋体" w:cs="宋体"/>
          <w:sz w:val="24"/>
        </w:rPr>
      </w:pPr>
      <w:r>
        <w:rPr>
          <w:rFonts w:hint="eastAsia" w:ascii="宋体" w:hAnsi="宋体" w:cs="宋体"/>
          <w:sz w:val="24"/>
        </w:rPr>
        <w:t>（二）供应商具有城市交通的规划设计或技术咨询等相关</w:t>
      </w:r>
      <w:r>
        <w:rPr>
          <w:rFonts w:hint="eastAsia" w:ascii="宋体" w:hAnsi="宋体" w:cs="宋体"/>
          <w:sz w:val="24"/>
          <w:lang w:val="en-US" w:eastAsia="zh-CN"/>
        </w:rPr>
        <w:t>经营许可或</w:t>
      </w:r>
      <w:r>
        <w:rPr>
          <w:rFonts w:hint="eastAsia" w:ascii="宋体" w:hAnsi="宋体" w:cs="宋体"/>
          <w:sz w:val="24"/>
        </w:rPr>
        <w:t>资质。</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（六）报价为唯一固定价且未超过报价限价。</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（一）本项目的采购公告信息在中山市公共交通运输集团有限公司官方网站（https://www.zsbus.cn/infolist.aspx?cid=35）及中山产权服务网（http://zscq.zsnews.cn/）上公布，并视为有效送达，不再另行通知。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（一）报名方式：供应商自行获取采购文件后，需在报名时间截止前提交一份参评文件，参评文件格式要求详见第四部分《参评响应文件格式》；</w:t>
      </w:r>
      <w:r>
        <w:rPr>
          <w:rFonts w:hint="eastAsia" w:ascii="宋体" w:hAnsi="宋体" w:cs="宋体"/>
          <w:b/>
          <w:bCs/>
          <w:sz w:val="24"/>
        </w:rPr>
        <w:t>参评文件要求盖章后扫描，发送到指定邮箱</w:t>
      </w:r>
      <w:r>
        <w:rPr>
          <w:rFonts w:hint="eastAsia" w:ascii="宋体" w:hAnsi="宋体" w:cs="宋体"/>
          <w:sz w:val="24"/>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，超时不接受任何供应商报名。</w:t>
      </w:r>
    </w:p>
    <w:p>
      <w:pPr>
        <w:pStyle w:val="31"/>
        <w:spacing w:line="560" w:lineRule="exact"/>
        <w:ind w:firstLine="480" w:firstLineChars="200"/>
        <w:rPr>
          <w:rFonts w:ascii="宋体" w:hAnsi="宋体"/>
          <w:sz w:val="24"/>
        </w:rPr>
      </w:pPr>
      <w:r>
        <w:rPr>
          <w:rFonts w:hint="eastAsia" w:ascii="宋体" w:hAnsi="宋体" w:cs="宋体"/>
          <w:sz w:val="24"/>
        </w:rPr>
        <w:t>（三）参评文件递交邮箱：zsbus_auditing@163.com。</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r>
        <w:rPr>
          <w:rFonts w:hint="eastAsia" w:ascii="宋体" w:hAnsi="宋体" w:cs="宋体"/>
          <w:sz w:val="24"/>
          <w:highlight w:val="none"/>
          <w:lang w:val="en-US" w:eastAsia="zh-CN"/>
        </w:rPr>
        <w:t>14:30</w:t>
      </w:r>
      <w:r>
        <w:rPr>
          <w:rFonts w:hint="eastAsia" w:ascii="宋体" w:hAnsi="宋体" w:cs="宋体"/>
          <w:sz w:val="24"/>
          <w:highlight w:val="none"/>
        </w:rPr>
        <w:t>。</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w:t>
      </w:r>
      <w:r>
        <w:rPr>
          <w:rFonts w:hint="eastAsia" w:ascii="宋体" w:hAnsi="宋体"/>
          <w:sz w:val="24"/>
        </w:rPr>
        <w:t>苏先生13528187721</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rPr>
        <w:t>2023年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bookmarkStart w:id="5" w:name="_GoBack"/>
      <w:bookmarkEnd w:id="5"/>
      <w:r>
        <w:rPr>
          <w:rFonts w:hint="eastAsia" w:ascii="宋体" w:hAnsi="宋体"/>
          <w:sz w:val="24"/>
        </w:rPr>
        <w:t>日</w:t>
      </w:r>
    </w:p>
    <w:p/>
    <w:p>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pStyle w:val="31"/>
        <w:spacing w:line="560" w:lineRule="exact"/>
        <w:ind w:firstLine="513" w:firstLineChars="214"/>
        <w:rPr>
          <w:rFonts w:ascii="宋体" w:hAnsi="宋体" w:cs="宋体"/>
          <w:bCs/>
          <w:sz w:val="24"/>
        </w:rPr>
      </w:pPr>
    </w:p>
    <w:p>
      <w:pPr>
        <w:pStyle w:val="31"/>
        <w:spacing w:line="560" w:lineRule="exact"/>
        <w:ind w:firstLine="513" w:firstLineChars="214"/>
        <w:rPr>
          <w:rFonts w:ascii="宋体" w:hAnsi="宋体" w:cs="宋体"/>
          <w:bCs/>
          <w:sz w:val="24"/>
        </w:rPr>
      </w:pPr>
      <w:r>
        <w:rPr>
          <w:rFonts w:hint="eastAsia" w:ascii="宋体" w:hAnsi="宋体" w:cs="宋体"/>
          <w:bCs/>
          <w:sz w:val="24"/>
        </w:rPr>
        <w:t>一、研究背景：</w:t>
      </w:r>
    </w:p>
    <w:p>
      <w:pPr>
        <w:pStyle w:val="31"/>
        <w:spacing w:line="560" w:lineRule="exact"/>
        <w:ind w:firstLine="513" w:firstLineChars="214"/>
        <w:rPr>
          <w:rFonts w:ascii="宋体" w:hAnsi="宋体" w:cs="宋体"/>
          <w:bCs/>
          <w:sz w:val="24"/>
        </w:rPr>
      </w:pPr>
      <w:r>
        <w:rPr>
          <w:rFonts w:hint="eastAsia" w:ascii="宋体" w:hAnsi="宋体" w:cs="宋体"/>
          <w:bCs/>
          <w:sz w:val="24"/>
        </w:rPr>
        <w:t>为贯彻落实党的二十大精神，打造建设珠江西岸综合交通枢纽城市，全力推动中山高质量发展，结合新形势下公共交通发展工作要求，中山公交集团计划开展公共交通高质量发展研究，对公交运营情况深入分析、科学研判、拓展思路、创新发展、增收节支，推动中山公交行业健康可持续发展。</w:t>
      </w:r>
    </w:p>
    <w:p>
      <w:pPr>
        <w:spacing w:line="560" w:lineRule="exact"/>
        <w:ind w:firstLine="480" w:firstLineChars="200"/>
        <w:rPr>
          <w:rFonts w:ascii="宋体" w:hAnsi="宋体" w:cs="宋体"/>
          <w:bCs/>
          <w:sz w:val="24"/>
        </w:rPr>
      </w:pPr>
      <w:r>
        <w:rPr>
          <w:rFonts w:hint="eastAsia" w:ascii="宋体" w:hAnsi="宋体" w:cs="宋体"/>
          <w:bCs/>
          <w:sz w:val="24"/>
        </w:rPr>
        <w:t>二、成果内容及要求</w:t>
      </w:r>
    </w:p>
    <w:p>
      <w:pPr>
        <w:spacing w:line="560" w:lineRule="exact"/>
        <w:ind w:firstLine="480" w:firstLineChars="200"/>
        <w:rPr>
          <w:rFonts w:ascii="宋体" w:hAnsi="宋体" w:cs="宋体"/>
          <w:bCs/>
          <w:sz w:val="24"/>
        </w:rPr>
      </w:pPr>
      <w:r>
        <w:rPr>
          <w:rFonts w:hint="eastAsia" w:ascii="宋体" w:hAnsi="宋体" w:cs="宋体"/>
          <w:bCs/>
          <w:sz w:val="24"/>
        </w:rPr>
        <w:t>研究新形势下公共交通发展情况的变化、公交行业面临的困难，对中山公交运营情况进行深入分析、科学研判，并提出企业创新发展、增收节支措施、政府支持等建议，为推动中山公交行业健康可持续发展提供科学指引，并将研究内容形成报告及PPT汇报材料，同时配合完成上级部门相关调研及汇报工作。</w:t>
      </w:r>
    </w:p>
    <w:p>
      <w:pPr>
        <w:spacing w:line="560" w:lineRule="exact"/>
        <w:ind w:firstLine="480" w:firstLineChars="200"/>
        <w:rPr>
          <w:rFonts w:ascii="宋体" w:hAnsi="宋体" w:cs="宋体"/>
          <w:bCs/>
          <w:sz w:val="24"/>
        </w:rPr>
      </w:pPr>
      <w:r>
        <w:rPr>
          <w:rFonts w:hint="eastAsia" w:ascii="宋体" w:hAnsi="宋体" w:cs="宋体"/>
          <w:bCs/>
          <w:sz w:val="24"/>
        </w:rPr>
        <w:t>三、付款方式</w:t>
      </w:r>
    </w:p>
    <w:p>
      <w:pPr>
        <w:spacing w:line="560" w:lineRule="exact"/>
        <w:ind w:firstLine="480" w:firstLineChars="200"/>
        <w:rPr>
          <w:rFonts w:ascii="宋体" w:hAnsi="宋体" w:cs="宋体"/>
          <w:bCs/>
          <w:sz w:val="24"/>
        </w:rPr>
      </w:pPr>
      <w:r>
        <w:rPr>
          <w:rFonts w:hint="eastAsia" w:ascii="宋体" w:hAnsi="宋体" w:cs="宋体"/>
          <w:bCs/>
          <w:sz w:val="24"/>
        </w:rPr>
        <w:t>本项目不设预付款，自所有项目成果通过采购人验收之日起且采购人收到中选人提供增值税专用发票后15个工作日内，采购人以银行转账方式向中选人一次性支付该项目采购金额。</w:t>
      </w:r>
    </w:p>
    <w:p>
      <w:pPr>
        <w:spacing w:line="560" w:lineRule="exact"/>
        <w:ind w:firstLine="480" w:firstLineChars="200"/>
        <w:rPr>
          <w:rFonts w:ascii="宋体" w:hAnsi="宋体" w:cs="宋体"/>
          <w:bCs/>
          <w:sz w:val="24"/>
        </w:rPr>
      </w:pPr>
      <w:r>
        <w:rPr>
          <w:rFonts w:hint="eastAsia" w:ascii="宋体" w:hAnsi="宋体" w:cs="宋体"/>
          <w:bCs/>
          <w:sz w:val="24"/>
        </w:rPr>
        <w:t>四、验收方式</w:t>
      </w:r>
    </w:p>
    <w:p>
      <w:pPr>
        <w:spacing w:line="560" w:lineRule="exact"/>
        <w:ind w:firstLine="480" w:firstLineChars="200"/>
        <w:rPr>
          <w:rFonts w:ascii="宋体" w:hAnsi="宋体" w:cs="宋体"/>
          <w:b/>
          <w:bCs/>
          <w:sz w:val="44"/>
          <w:szCs w:val="44"/>
        </w:rPr>
      </w:pPr>
      <w:r>
        <w:rPr>
          <w:rFonts w:hint="eastAsia" w:ascii="宋体" w:hAnsi="宋体" w:cs="宋体"/>
          <w:bCs/>
          <w:sz w:val="24"/>
        </w:rPr>
        <w:t>自合同签订之日起15天内中选人完成研究报告初稿并征求采购人意见建议，收到采购人修改意见10天内完成研究报告正式稿（一式四份及PPT汇报材料），经采购人同意后确认验收。</w:t>
      </w:r>
      <w:r>
        <w:rPr>
          <w:rFonts w:hint="eastAsia" w:ascii="宋体" w:hAnsi="宋体" w:cs="宋体"/>
          <w:bCs/>
          <w:sz w:val="24"/>
        </w:rPr>
        <w:br w:type="page"/>
      </w: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二、评审标准为：资格评审+综合评审，共2个环节，评标委员会先进行资格评审，再进行综合评审。只有评审结论为“通过”的参评供应商才能进入综合评审。</w:t>
      </w:r>
    </w:p>
    <w:p>
      <w:pPr>
        <w:pStyle w:val="3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rPr>
            </w:pPr>
            <w:r>
              <w:rPr>
                <w:rFonts w:hint="eastAsia" w:ascii="宋体" w:hAnsi="宋体" w:cs="宋体"/>
                <w:b/>
                <w:bCs/>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60分</w:t>
            </w:r>
          </w:p>
        </w:tc>
        <w:tc>
          <w:tcPr>
            <w:tcW w:w="2536" w:type="dxa"/>
            <w:tcBorders>
              <w:tl2br w:val="nil"/>
              <w:tr2bl w:val="nil"/>
            </w:tcBorders>
            <w:vAlign w:val="center"/>
          </w:tcPr>
          <w:p>
            <w:pPr>
              <w:spacing w:line="360" w:lineRule="auto"/>
              <w:jc w:val="center"/>
              <w:rPr>
                <w:rFonts w:ascii="宋体" w:hAnsi="宋体" w:cs="宋体"/>
                <w:b/>
                <w:bCs/>
                <w:szCs w:val="21"/>
              </w:rPr>
            </w:pPr>
            <w:r>
              <w:rPr>
                <w:rFonts w:hint="eastAsia" w:ascii="宋体" w:hAnsi="宋体" w:cs="宋体"/>
                <w:b/>
                <w:bCs/>
                <w:szCs w:val="21"/>
              </w:rPr>
              <w:t>40分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对通过符合性审查的参评单位各个标的进行价格评分，将评标委员会校核后的各个标的价格定义为评标价格。取各评标价格的算术平均值为基准价格。当参评单位的评标价格等于基准价格时为满分40分，高于基准价格的评标价格则按其比例，每高于基准价格的1％减1分，低于基准价格的评标价格也按其比例，每低于基准价格的1％减0.5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《评选结果通知书》，并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rPr>
              <w:t>供应商的企业经营范围需包含城市交通的规划设计或技术咨询</w:t>
            </w:r>
            <w:r>
              <w:rPr>
                <w:rFonts w:hint="eastAsia"/>
                <w:lang w:eastAsia="zh-CN"/>
              </w:rPr>
              <w:t>等相关经营许可或资质</w:t>
            </w:r>
            <w:r>
              <w:rPr>
                <w:rFonts w:hint="eastAsia"/>
              </w:rPr>
              <w:t>。（提供企业营业执照或市场监管部门的查询截图作为证明材料）</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r>
              <w:rPr>
                <w:rFonts w:hint="eastAsia"/>
              </w:rPr>
              <w:t>供应商承诺不得以任何方式转包或分包本项目。</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ascii="宋体" w:hAnsi="宋体" w:cs="宋体"/>
                <w:sz w:val="24"/>
              </w:rPr>
              <w:t>4</w:t>
            </w:r>
          </w:p>
        </w:tc>
        <w:tc>
          <w:tcPr>
            <w:tcW w:w="5758" w:type="dxa"/>
            <w:vAlign w:val="center"/>
          </w:tcPr>
          <w:p>
            <w:r>
              <w:rPr>
                <w:rFonts w:hint="eastAsia"/>
              </w:rPr>
              <w:t>参评供应商满足本项目的主要需求，填写《需求响应表》并全部完全响应，无负偏离。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5</w:t>
            </w:r>
          </w:p>
        </w:tc>
        <w:tc>
          <w:tcPr>
            <w:tcW w:w="5758" w:type="dxa"/>
            <w:vAlign w:val="center"/>
          </w:tcPr>
          <w:p>
            <w:r>
              <w:rPr>
                <w:rFonts w:hint="eastAsia"/>
              </w:rPr>
              <w:t>非联合体潜在供应商参评报价。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6</w:t>
            </w:r>
          </w:p>
        </w:tc>
        <w:tc>
          <w:tcPr>
            <w:tcW w:w="5758" w:type="dxa"/>
            <w:vAlign w:val="center"/>
          </w:tcPr>
          <w:p>
            <w:r>
              <w:rPr>
                <w:rFonts w:hint="eastAsia"/>
              </w:rPr>
              <w:t>报价为唯一固定价且未超过报价限价。</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7</w:t>
            </w:r>
          </w:p>
        </w:tc>
        <w:tc>
          <w:tcPr>
            <w:tcW w:w="5758" w:type="dxa"/>
            <w:vAlign w:val="center"/>
          </w:tcPr>
          <w:p>
            <w:r>
              <w:rPr>
                <w:rFonts w:hint="eastAsia"/>
              </w:rPr>
              <w:t>符合采购文件要求的其他条件（如盖章签署等）。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p>
      <w:pPr>
        <w:rPr>
          <w:rFonts w:ascii="宋体" w:hAnsi="宋体" w:cs="宋体"/>
          <w:szCs w:val="21"/>
        </w:rPr>
      </w:pPr>
      <w:r>
        <w:rPr>
          <w:rFonts w:hint="eastAsia" w:ascii="宋体" w:hAnsi="宋体" w:cs="宋体"/>
          <w:szCs w:val="21"/>
        </w:rPr>
        <w:t xml:space="preserve"> 项目名称：中山市城市公共交通高质量发展研究报告服务采购项目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考察研究能力</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30</w:t>
            </w:r>
          </w:p>
        </w:tc>
        <w:tc>
          <w:tcPr>
            <w:tcW w:w="461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rPr>
            </w:pPr>
            <w:r>
              <w:rPr>
                <w:rFonts w:hint="eastAsia" w:ascii="宋体" w:hAnsi="宋体" w:cs="宋体"/>
                <w:szCs w:val="21"/>
              </w:rPr>
              <w:t>根据参评供应商的提供的具体考察研究能力资料：</w:t>
            </w:r>
          </w:p>
          <w:p>
            <w:pPr>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近</w:t>
            </w:r>
            <w:r>
              <w:rPr>
                <w:rFonts w:hint="eastAsia" w:ascii="宋体" w:hAnsi="宋体" w:cs="宋体"/>
                <w:szCs w:val="21"/>
              </w:rPr>
              <w:t>五年承接过地级市及以上公共交通规划设计相关课题报告的数量，每提供一项得</w:t>
            </w:r>
            <w:r>
              <w:rPr>
                <w:rFonts w:ascii="宋体" w:hAnsi="宋体" w:cs="宋体"/>
                <w:szCs w:val="21"/>
              </w:rPr>
              <w:t>2</w:t>
            </w:r>
            <w:r>
              <w:rPr>
                <w:rFonts w:hint="eastAsia" w:ascii="宋体" w:hAnsi="宋体" w:cs="宋体"/>
                <w:szCs w:val="21"/>
              </w:rPr>
              <w:t>分，</w:t>
            </w:r>
            <w:r>
              <w:rPr>
                <w:rFonts w:hint="eastAsia" w:ascii="宋体" w:hAnsi="宋体" w:cs="宋体"/>
                <w:szCs w:val="21"/>
                <w:lang w:eastAsia="zh-CN"/>
              </w:rPr>
              <w:t>本小项</w:t>
            </w:r>
            <w:r>
              <w:rPr>
                <w:rFonts w:hint="eastAsia" w:ascii="宋体" w:hAnsi="宋体" w:cs="宋体"/>
                <w:szCs w:val="21"/>
              </w:rPr>
              <w:t>最高得</w:t>
            </w:r>
            <w:r>
              <w:rPr>
                <w:rFonts w:ascii="宋体" w:hAnsi="宋体" w:cs="宋体"/>
                <w:szCs w:val="21"/>
              </w:rPr>
              <w:t>16</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2.项目主要团队成员（主要技术人员）具有交通运输规划类或城市规划类相关职称的，高级职称得4分/人，中级职称得2分/人；其他的不得分，</w:t>
            </w:r>
            <w:r>
              <w:rPr>
                <w:rFonts w:hint="eastAsia" w:ascii="宋体" w:hAnsi="宋体" w:cs="宋体"/>
                <w:szCs w:val="21"/>
                <w:lang w:eastAsia="zh-CN"/>
              </w:rPr>
              <w:t>本小项</w:t>
            </w:r>
            <w:r>
              <w:rPr>
                <w:rFonts w:hint="eastAsia" w:ascii="宋体" w:hAnsi="宋体" w:cs="宋体"/>
                <w:szCs w:val="21"/>
              </w:rPr>
              <w:t>最高得</w:t>
            </w:r>
            <w:r>
              <w:rPr>
                <w:rFonts w:ascii="宋体" w:hAnsi="宋体" w:cs="宋体"/>
                <w:szCs w:val="21"/>
              </w:rPr>
              <w:t>6</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3.项目主要团队成员（主要技术人员）</w:t>
            </w:r>
            <w:r>
              <w:rPr>
                <w:rFonts w:hint="eastAsia" w:ascii="宋体" w:hAnsi="宋体" w:cs="宋体"/>
                <w:szCs w:val="21"/>
                <w:lang w:val="en-US" w:eastAsia="zh-CN"/>
              </w:rPr>
              <w:t>近</w:t>
            </w:r>
            <w:r>
              <w:rPr>
                <w:rFonts w:hint="eastAsia" w:ascii="宋体" w:hAnsi="宋体" w:cs="宋体"/>
                <w:szCs w:val="21"/>
              </w:rPr>
              <w:t>五年参与过地级市及以上公共交通规划设计相关课题研究的相关从业经验，每提供一项得1分，</w:t>
            </w:r>
            <w:r>
              <w:rPr>
                <w:rFonts w:hint="eastAsia" w:ascii="宋体" w:hAnsi="宋体" w:cs="宋体"/>
                <w:szCs w:val="21"/>
                <w:lang w:eastAsia="zh-CN"/>
              </w:rPr>
              <w:t>本小项</w:t>
            </w:r>
            <w:r>
              <w:rPr>
                <w:rFonts w:hint="eastAsia" w:ascii="宋体" w:hAnsi="宋体" w:cs="宋体"/>
                <w:szCs w:val="21"/>
              </w:rPr>
              <w:t>最高得</w:t>
            </w:r>
            <w:r>
              <w:rPr>
                <w:rFonts w:ascii="宋体" w:hAnsi="宋体" w:cs="宋体"/>
                <w:szCs w:val="21"/>
              </w:rPr>
              <w:t>8</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评分</w:t>
            </w:r>
            <w:r>
              <w:rPr>
                <w:rFonts w:ascii="宋体" w:hAnsi="宋体" w:cs="宋体"/>
                <w:szCs w:val="21"/>
              </w:rPr>
              <w:t>依据：</w:t>
            </w:r>
          </w:p>
          <w:p>
            <w:pPr>
              <w:jc w:val="left"/>
              <w:rPr>
                <w:rFonts w:ascii="宋体" w:hAnsi="宋体" w:cs="宋体"/>
                <w:szCs w:val="21"/>
              </w:rPr>
            </w:pPr>
            <w:r>
              <w:rPr>
                <w:rFonts w:ascii="宋体" w:hAnsi="宋体" w:cs="宋体"/>
                <w:szCs w:val="21"/>
              </w:rPr>
              <w:t>1</w:t>
            </w:r>
            <w:r>
              <w:rPr>
                <w:rFonts w:hint="eastAsia" w:ascii="宋体" w:hAnsi="宋体" w:cs="宋体"/>
                <w:szCs w:val="21"/>
              </w:rPr>
              <w:t>、要求提供投标方的项目主要团队成员（主要技术人员）截标日期前3个月的社保证明及相关职称证书、工作经验证明作为得分依据。</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业绩经验</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参评供应商的同类项目业绩（需提供2019年以来相关或同类项目的合同证明文件），每提供一项得2分</w:t>
            </w:r>
            <w:r>
              <w:rPr>
                <w:rFonts w:hint="eastAsia" w:ascii="宋体" w:hAnsi="宋体" w:cs="宋体"/>
                <w:szCs w:val="21"/>
                <w:lang w:eastAsia="zh-CN"/>
              </w:rPr>
              <w:t>，本项</w:t>
            </w:r>
            <w:r>
              <w:rPr>
                <w:rFonts w:hint="eastAsia" w:ascii="宋体" w:hAnsi="宋体" w:cs="宋体"/>
                <w:szCs w:val="21"/>
              </w:rPr>
              <w:t>最高得</w:t>
            </w:r>
            <w:r>
              <w:rPr>
                <w:rFonts w:hint="eastAsia" w:ascii="宋体" w:hAnsi="宋体" w:cs="宋体"/>
                <w:szCs w:val="21"/>
                <w:lang w:val="en-US" w:eastAsia="zh-CN"/>
              </w:rPr>
              <w:t>10</w:t>
            </w:r>
            <w:r>
              <w:rPr>
                <w:rFonts w:hint="eastAsia" w:ascii="宋体" w:hAnsi="宋体" w:cs="宋体"/>
                <w:szCs w:val="21"/>
              </w:rPr>
              <w:t>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pStyle w:val="29"/>
              <w:snapToGrid w:val="0"/>
              <w:jc w:val="center"/>
              <w:rPr>
                <w:rFonts w:ascii="宋体" w:hAnsi="宋体" w:cs="宋体"/>
                <w:sz w:val="21"/>
                <w:szCs w:val="21"/>
              </w:rPr>
            </w:pPr>
            <w:r>
              <w:rPr>
                <w:rFonts w:hint="eastAsia" w:ascii="宋体" w:hAnsi="宋体" w:cs="宋体"/>
                <w:sz w:val="21"/>
                <w:szCs w:val="21"/>
              </w:rPr>
              <w:t>报告框架</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zCs w:val="21"/>
              </w:rPr>
            </w:pPr>
            <w:r>
              <w:rPr>
                <w:rFonts w:hint="eastAsia" w:ascii="宋体" w:hAnsi="宋体" w:cs="宋体"/>
                <w:szCs w:val="21"/>
              </w:rPr>
              <w:t>针对本项目，</w:t>
            </w:r>
            <w:r>
              <w:rPr>
                <w:rFonts w:hint="eastAsia" w:ascii="宋体" w:hAnsi="宋体" w:cs="宋体"/>
                <w:szCs w:val="21"/>
                <w:lang w:val="en-US" w:eastAsia="zh-CN"/>
              </w:rPr>
              <w:t>评审</w:t>
            </w:r>
            <w:r>
              <w:rPr>
                <w:rFonts w:hint="eastAsia" w:ascii="宋体" w:hAnsi="宋体" w:cs="宋体"/>
                <w:szCs w:val="21"/>
              </w:rPr>
              <w:t>提供的调研报告框架：</w:t>
            </w:r>
          </w:p>
          <w:p>
            <w:pPr>
              <w:snapToGrid w:val="0"/>
              <w:jc w:val="left"/>
              <w:rPr>
                <w:rFonts w:ascii="宋体" w:hAnsi="宋体" w:cs="宋体"/>
                <w:szCs w:val="21"/>
              </w:rPr>
            </w:pPr>
            <w:r>
              <w:rPr>
                <w:rFonts w:hint="eastAsia" w:ascii="宋体" w:hAnsi="宋体" w:cs="宋体"/>
                <w:szCs w:val="21"/>
              </w:rPr>
              <w:t>1.课题研究立意深远，紧扣新时期公交发展趋势，整体框架谋篇布局完整严谨且清晰明了，研究内容针对性、逻辑性、可操作性强，研究方法新颖且有深度。</w:t>
            </w:r>
            <w:r>
              <w:rPr>
                <w:rFonts w:hint="eastAsia" w:ascii="宋体" w:hAnsi="宋体" w:cs="宋体"/>
                <w:szCs w:val="21"/>
                <w:lang w:eastAsia="zh-CN"/>
              </w:rPr>
              <w:t>评</w:t>
            </w:r>
            <w:r>
              <w:rPr>
                <w:rFonts w:hint="eastAsia" w:ascii="宋体" w:hAnsi="宋体" w:cs="宋体"/>
                <w:szCs w:val="21"/>
              </w:rPr>
              <w:t>8-10分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2.课题研究紧扣新时期公交发展趋势，整体框架设计比较完整清晰，研究内容有一定的针对性、逻辑性、可操作性，研究方法比较新颖。</w:t>
            </w:r>
            <w:r>
              <w:rPr>
                <w:rFonts w:hint="eastAsia" w:ascii="宋体" w:hAnsi="宋体" w:cs="宋体"/>
                <w:szCs w:val="21"/>
                <w:lang w:eastAsia="zh-CN"/>
              </w:rPr>
              <w:t>评</w:t>
            </w:r>
            <w:r>
              <w:rPr>
                <w:rFonts w:hint="eastAsia" w:ascii="宋体" w:hAnsi="宋体" w:cs="宋体"/>
                <w:szCs w:val="21"/>
              </w:rPr>
              <w:t>5-7分</w:t>
            </w:r>
            <w:r>
              <w:rPr>
                <w:rFonts w:hint="eastAsia" w:ascii="宋体" w:hAnsi="宋体" w:cs="宋体"/>
                <w:szCs w:val="21"/>
                <w:lang w:eastAsia="zh-CN"/>
              </w:rPr>
              <w:t>。</w:t>
            </w:r>
          </w:p>
          <w:p>
            <w:pPr>
              <w:snapToGrid w:val="0"/>
              <w:jc w:val="left"/>
              <w:rPr>
                <w:rFonts w:ascii="宋体" w:hAnsi="宋体" w:cs="宋体"/>
                <w:szCs w:val="21"/>
              </w:rPr>
            </w:pPr>
            <w:r>
              <w:rPr>
                <w:rFonts w:hint="eastAsia" w:ascii="宋体" w:hAnsi="宋体" w:cs="宋体"/>
                <w:szCs w:val="21"/>
              </w:rPr>
              <w:t>3.课题研究紧扣新时期公交发展趋势，整体框架谋篇布局比较完整，研究内容基本符合课题要求，具备基本的研究方法</w:t>
            </w:r>
            <w:r>
              <w:rPr>
                <w:rFonts w:hint="eastAsia" w:ascii="宋体" w:hAnsi="宋体" w:cs="宋体"/>
                <w:szCs w:val="21"/>
                <w:lang w:eastAsia="zh-CN"/>
              </w:rPr>
              <w:t>。评</w:t>
            </w:r>
            <w:r>
              <w:rPr>
                <w:rFonts w:hint="eastAsia" w:ascii="宋体" w:hAnsi="宋体" w:cs="宋体"/>
                <w:szCs w:val="21"/>
              </w:rPr>
              <w:t>1-4分。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rPr>
            </w:pPr>
          </w:p>
        </w:tc>
        <w:tc>
          <w:tcPr>
            <w:tcW w:w="771"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服务方案</w:t>
            </w:r>
          </w:p>
        </w:tc>
        <w:tc>
          <w:tcPr>
            <w:tcW w:w="70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10</w:t>
            </w:r>
          </w:p>
        </w:tc>
        <w:tc>
          <w:tcPr>
            <w:tcW w:w="461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rPr>
            </w:pPr>
            <w:r>
              <w:rPr>
                <w:rFonts w:hint="eastAsia" w:ascii="宋体" w:hAnsi="宋体" w:cs="宋体"/>
                <w:szCs w:val="21"/>
              </w:rPr>
              <w:t>针对本项目，制定完善的售后服务方案得8-10分，有方案但不够全面得5-7分，有方案但不符合实际得2-4分，无方案得0分。</w:t>
            </w: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60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cs="宋体"/>
                <w:szCs w:val="21"/>
              </w:rPr>
            </w:pPr>
          </w:p>
        </w:tc>
        <w:tc>
          <w:tcPr>
            <w:tcW w:w="1075"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cs="宋体"/>
                <w:szCs w:val="21"/>
              </w:rPr>
            </w:pPr>
          </w:p>
        </w:tc>
        <w:tc>
          <w:tcPr>
            <w:tcW w:w="963" w:type="dxa"/>
            <w:tcBorders>
              <w:top w:val="single" w:color="auto" w:sz="6" w:space="0"/>
              <w:left w:val="nil"/>
              <w:bottom w:val="double" w:color="auto" w:sz="2" w:space="0"/>
              <w:right w:val="double" w:color="auto" w:sz="2" w:space="0"/>
            </w:tcBorders>
          </w:tcPr>
          <w:p>
            <w:pPr>
              <w:snapToGrid w:val="0"/>
              <w:jc w:val="center"/>
              <w:rPr>
                <w:rFonts w:ascii="宋体" w:hAnsi="宋体" w:cs="宋体"/>
                <w:szCs w:val="21"/>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组长签名：             </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1"/>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 xml:space="preserve">评标委员会成员签名：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 xml:space="preserve">评标委员会组长签名：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参评响应文件格式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96"/>
          <w:szCs w:val="96"/>
        </w:rPr>
      </w:pPr>
    </w:p>
    <w:p>
      <w:pPr>
        <w:pStyle w:val="16"/>
        <w:jc w:val="center"/>
        <w:rPr>
          <w:rFonts w:ascii="Times New Roman" w:hAnsi="Times New Roman"/>
          <w:b/>
          <w:sz w:val="96"/>
          <w:szCs w:val="96"/>
        </w:rPr>
      </w:pPr>
    </w:p>
    <w:p>
      <w:pPr>
        <w:pStyle w:val="16"/>
        <w:jc w:val="center"/>
        <w:rPr>
          <w:rFonts w:ascii="Times New Roman" w:hAnsi="Times New Roman"/>
          <w:b/>
          <w:sz w:val="44"/>
          <w:szCs w:val="44"/>
        </w:rPr>
      </w:pPr>
      <w:r>
        <w:rPr>
          <w:rFonts w:hint="eastAsia" w:ascii="Times New Roman" w:hAnsi="Times New Roman"/>
          <w:b/>
          <w:sz w:val="96"/>
          <w:szCs w:val="96"/>
        </w:rPr>
        <w:t>参 评 文 件</w:t>
      </w:r>
    </w:p>
    <w:p>
      <w:pPr>
        <w:pStyle w:val="16"/>
        <w:spacing w:line="560" w:lineRule="exact"/>
        <w:jc w:val="center"/>
        <w:rPr>
          <w:rFonts w:ascii="Times New Roman" w:hAnsi="Times New Roman"/>
          <w:b/>
          <w:sz w:val="32"/>
          <w:szCs w:val="32"/>
        </w:rPr>
      </w:pPr>
    </w:p>
    <w:p>
      <w:pPr>
        <w:pStyle w:val="16"/>
        <w:spacing w:line="560" w:lineRule="exact"/>
        <w:jc w:val="center"/>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6"/>
        <w:spacing w:line="560" w:lineRule="exact"/>
        <w:rPr>
          <w:rFonts w:ascii="Times New Roman" w:hAnsi="Times New Roman"/>
          <w:b/>
          <w:sz w:val="32"/>
          <w:szCs w:val="32"/>
        </w:rPr>
      </w:pPr>
      <w:r>
        <w:rPr>
          <w:rFonts w:hint="eastAsia" w:ascii="Times New Roman" w:hAnsi="Times New Roman"/>
          <w:b/>
          <w:sz w:val="32"/>
          <w:szCs w:val="32"/>
        </w:rPr>
        <w:t>项目名称：中山市公共交通运输集团有限公司中山市城市</w:t>
      </w: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公共交通高质量发展研究报告服务采购项目</w:t>
      </w:r>
    </w:p>
    <w:p>
      <w:pPr>
        <w:pStyle w:val="16"/>
        <w:spacing w:line="560" w:lineRule="exact"/>
        <w:ind w:firstLine="1754" w:firstLineChars="546"/>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参评供应商名称（盖章）：     </w:t>
      </w:r>
    </w:p>
    <w:p>
      <w:pPr>
        <w:pStyle w:val="16"/>
        <w:spacing w:line="560" w:lineRule="exact"/>
        <w:ind w:firstLine="1754" w:firstLineChars="546"/>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w:t>
      </w:r>
      <w:r>
        <w:rPr>
          <w:rFonts w:hint="eastAsia" w:ascii="宋体" w:hAnsi="宋体" w:cs="宋体"/>
          <w:bCs/>
          <w:sz w:val="24"/>
          <w:u w:val="single"/>
        </w:rPr>
        <w:t>《中山市公共交通运输集团有限公司中山市城市公共交通高质量发展研究报告服务采购项目》</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8.参评文件有效期：报名截止之日后90天内有效。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同志，为我方全权代表，全权参与贵方“中山市公共交通运输集团有限公司中山市城市公共交通高质量发展研究报告服务采购项目”</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有效期：响应截止之日起90日内有效。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附：被授权代表姓名：</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1"/>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具有独立承担民事责任能力</w:t>
      </w:r>
      <w:r>
        <w:rPr>
          <w:rFonts w:hint="eastAsia" w:ascii="宋体" w:hAnsi="宋体" w:cs="仿宋_GB2312"/>
          <w:b/>
          <w:sz w:val="44"/>
          <w:szCs w:val="44"/>
          <w:lang w:val="en-US" w:eastAsia="zh-CN"/>
        </w:rPr>
        <w:t>及城市交通规划设计或技术咨询等经营许可或资质</w:t>
      </w:r>
      <w:r>
        <w:rPr>
          <w:rFonts w:hint="eastAsia" w:ascii="宋体" w:hAnsi="宋体" w:cs="仿宋_GB2312"/>
          <w:b/>
          <w:sz w:val="44"/>
          <w:szCs w:val="44"/>
        </w:rPr>
        <w:t>的在中华人民共和国境内注册的企业法人或其他社会组织，提供营业执照（含经营范围）、资质证明等材料（盖章）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格式4 考察研究能力资料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考察研究能力资料（</w:t>
      </w:r>
      <w:r>
        <w:rPr>
          <w:rFonts w:hint="eastAsia" w:ascii="宋体" w:hAnsi="宋体" w:cs="仿宋_GB2312"/>
          <w:b/>
          <w:sz w:val="44"/>
          <w:szCs w:val="44"/>
          <w:lang w:val="en-US" w:eastAsia="zh-CN"/>
        </w:rPr>
        <w:t>近五年</w:t>
      </w:r>
      <w:r>
        <w:rPr>
          <w:rFonts w:hint="eastAsia" w:ascii="宋体" w:hAnsi="宋体" w:cs="仿宋_GB2312"/>
          <w:b/>
          <w:sz w:val="44"/>
          <w:szCs w:val="44"/>
        </w:rPr>
        <w:t>承接过地级市及以上公共交通规划设计相关研究课题报告的数量、</w:t>
      </w:r>
      <w:r>
        <w:rPr>
          <w:rFonts w:hint="eastAsia" w:ascii="宋体" w:hAnsi="宋体" w:cs="仿宋_GB2312"/>
          <w:b/>
          <w:sz w:val="44"/>
          <w:szCs w:val="44"/>
          <w:lang w:val="en-US" w:eastAsia="zh-CN"/>
        </w:rPr>
        <w:t>项目主要团队成员（主要技术</w:t>
      </w:r>
      <w:r>
        <w:rPr>
          <w:rFonts w:hint="eastAsia" w:ascii="宋体" w:hAnsi="宋体" w:cs="仿宋_GB2312"/>
          <w:b/>
          <w:sz w:val="44"/>
          <w:szCs w:val="44"/>
        </w:rPr>
        <w:t>人员</w:t>
      </w:r>
      <w:r>
        <w:rPr>
          <w:rFonts w:hint="eastAsia" w:ascii="宋体" w:hAnsi="宋体" w:cs="仿宋_GB2312"/>
          <w:b/>
          <w:sz w:val="44"/>
          <w:szCs w:val="44"/>
          <w:lang w:eastAsia="zh-CN"/>
        </w:rPr>
        <w:t>）</w:t>
      </w:r>
      <w:r>
        <w:rPr>
          <w:rFonts w:hint="eastAsia" w:ascii="宋体" w:hAnsi="宋体" w:cs="仿宋_GB2312"/>
          <w:b/>
          <w:sz w:val="44"/>
          <w:szCs w:val="44"/>
        </w:rPr>
        <w:t>的职称情况、</w:t>
      </w:r>
      <w:r>
        <w:rPr>
          <w:rFonts w:hint="eastAsia" w:ascii="宋体" w:hAnsi="宋体" w:cs="仿宋_GB2312"/>
          <w:b/>
          <w:sz w:val="44"/>
          <w:szCs w:val="44"/>
          <w:lang w:val="en-US" w:eastAsia="zh-CN"/>
        </w:rPr>
        <w:t>近五年</w:t>
      </w:r>
      <w:r>
        <w:rPr>
          <w:rFonts w:hint="eastAsia" w:ascii="宋体" w:hAnsi="宋体" w:cs="仿宋_GB2312"/>
          <w:b/>
          <w:sz w:val="44"/>
          <w:szCs w:val="44"/>
        </w:rPr>
        <w:t>参与过地级市及以上公共交通规划设计相关课题研究的相关从业经验等），提供相关资料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业绩经验资料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同类项目业绩资料，提供合同等证明文件</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格式6 调研报告框架资料</w:t>
      </w:r>
    </w:p>
    <w:p>
      <w:pPr>
        <w:tabs>
          <w:tab w:val="left" w:pos="0"/>
        </w:tabs>
        <w:spacing w:line="560" w:lineRule="exact"/>
        <w:jc w:val="center"/>
        <w:rPr>
          <w:rFonts w:ascii="宋体" w:hAnsi="宋体"/>
          <w:b/>
          <w:sz w:val="44"/>
          <w:szCs w:val="44"/>
        </w:rPr>
      </w:pPr>
    </w:p>
    <w:p>
      <w:pPr>
        <w:tabs>
          <w:tab w:val="left" w:pos="0"/>
        </w:tabs>
        <w:spacing w:line="560" w:lineRule="exact"/>
        <w:jc w:val="center"/>
        <w:rPr>
          <w:rFonts w:hAnsi="宋体" w:cs="宋体"/>
          <w:b/>
          <w:sz w:val="24"/>
        </w:rPr>
      </w:pPr>
      <w:r>
        <w:rPr>
          <w:rFonts w:hint="eastAsia" w:ascii="宋体" w:hAnsi="宋体"/>
          <w:b/>
          <w:sz w:val="44"/>
          <w:szCs w:val="44"/>
        </w:rPr>
        <w:t>针对本项目，调研报告框架方案资料</w:t>
      </w:r>
    </w:p>
    <w:p>
      <w:pPr>
        <w:spacing w:line="560" w:lineRule="exact"/>
        <w:ind w:firstLine="3092" w:firstLineChars="700"/>
        <w:jc w:val="left"/>
        <w:rPr>
          <w:rFonts w:ascii="宋体" w:hAnsi="宋体" w:cs="宋体"/>
          <w:sz w:val="24"/>
        </w:rPr>
      </w:pPr>
      <w:r>
        <w:rPr>
          <w:rFonts w:hint="eastAsia" w:ascii="宋体" w:hAnsi="宋体" w:cs="仿宋_GB2312"/>
          <w:b/>
          <w:sz w:val="44"/>
          <w:szCs w:val="44"/>
        </w:rPr>
        <w:t>（格式自拟）</w:t>
      </w:r>
      <w:r>
        <w:rPr>
          <w:rFonts w:hint="eastAsia" w:ascii="宋体" w:hAnsi="宋体"/>
          <w:b/>
          <w:bCs/>
          <w:sz w:val="24"/>
        </w:rPr>
        <w:br w:type="page"/>
      </w:r>
      <w:r>
        <w:rPr>
          <w:rFonts w:hint="eastAsia" w:ascii="宋体" w:hAnsi="宋体"/>
          <w:b/>
          <w:bCs/>
          <w:sz w:val="24"/>
        </w:rPr>
        <w:t>格式7 服务方案资料</w:t>
      </w:r>
    </w:p>
    <w:p>
      <w:pPr>
        <w:pStyle w:val="12"/>
        <w:spacing w:line="560" w:lineRule="exact"/>
      </w:pPr>
    </w:p>
    <w:p>
      <w:pPr>
        <w:tabs>
          <w:tab w:val="left" w:pos="900"/>
        </w:tabs>
        <w:spacing w:line="560" w:lineRule="exact"/>
        <w:jc w:val="center"/>
        <w:rPr>
          <w:rFonts w:ascii="宋体" w:hAnsi="宋体" w:cs="仿宋_GB2312"/>
          <w:b/>
          <w:sz w:val="44"/>
          <w:szCs w:val="44"/>
        </w:rPr>
      </w:pPr>
      <w:r>
        <w:rPr>
          <w:rFonts w:hint="eastAsia" w:ascii="宋体" w:hAnsi="宋体"/>
          <w:b/>
          <w:sz w:val="44"/>
          <w:szCs w:val="44"/>
        </w:rPr>
        <w:t>针对本</w:t>
      </w:r>
      <w:r>
        <w:rPr>
          <w:rFonts w:hint="eastAsia" w:ascii="宋体" w:hAnsi="宋体" w:cs="仿宋_GB2312"/>
          <w:b/>
          <w:sz w:val="44"/>
          <w:szCs w:val="44"/>
        </w:rPr>
        <w:t>项目的服务方案资料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格式8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spacing w:line="560" w:lineRule="exact"/>
        <w:rPr>
          <w:rFonts w:ascii="宋体" w:hAnsi="宋体" w:cs="宋体"/>
          <w:b/>
          <w:bCs/>
          <w:spacing w:val="-11"/>
          <w:sz w:val="24"/>
        </w:rPr>
      </w:pPr>
      <w:r>
        <w:rPr>
          <w:rFonts w:hint="eastAsia" w:ascii="宋体" w:hAnsi="宋体" w:cs="宋体"/>
          <w:b/>
          <w:bCs/>
          <w:spacing w:val="-11"/>
          <w:sz w:val="24"/>
        </w:rPr>
        <w:t>项目名称：中山市公共交通运输集团有限公司中山市城市公共交通高质量发展研究报告服务采购项目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top"/>
              <w:rPr>
                <w:rFonts w:ascii="宋体" w:hAnsi="宋体" w:cs="宋体"/>
                <w:color w:val="000000"/>
                <w:sz w:val="24"/>
              </w:rPr>
            </w:pPr>
            <w:r>
              <w:rPr>
                <w:rFonts w:hint="eastAsia" w:ascii="宋体" w:hAnsi="宋体" w:cs="宋体"/>
                <w:color w:val="000000"/>
                <w:kern w:val="0"/>
                <w:sz w:val="24"/>
                <w:lang w:bidi="ar"/>
              </w:rPr>
              <w:t>研究新形势下公共交通发展情况的变化、公交行业面临的困难，对中山公交运营情况进行深入分析、科学研判，并提出企业创新发展、增收节支措施、政府支持等建议，为推动中山公交行业健康可持续发展提供科学指引，并将研究内容形成报告及PPT汇报材料，同时配合完成上级部门相关调研及汇报工作。</w:t>
            </w:r>
          </w:p>
        </w:tc>
      </w:tr>
      <w:tr>
        <w:tblPrEx>
          <w:tblCellMar>
            <w:top w:w="0" w:type="dxa"/>
            <w:left w:w="108" w:type="dxa"/>
            <w:bottom w:w="0" w:type="dxa"/>
            <w:right w:w="108" w:type="dxa"/>
          </w:tblCellMar>
        </w:tblPrEx>
        <w:trPr>
          <w:trHeight w:val="868" w:hRule="atLeast"/>
        </w:trPr>
        <w:tc>
          <w:tcPr>
            <w:tcW w:w="500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color w:val="000000"/>
                <w:sz w:val="24"/>
              </w:rPr>
            </w:pPr>
            <w:r>
              <w:rPr>
                <w:rFonts w:hint="eastAsia" w:ascii="宋体" w:hAnsi="宋体" w:cs="宋体"/>
                <w:bCs/>
                <w:sz w:val="24"/>
                <w:lang w:val="en-US" w:eastAsia="zh-CN"/>
              </w:rPr>
              <w:t>服务期：</w:t>
            </w:r>
            <w:r>
              <w:rPr>
                <w:rFonts w:hint="eastAsia" w:ascii="宋体" w:hAnsi="宋体" w:cs="宋体"/>
                <w:bCs/>
                <w:sz w:val="24"/>
              </w:rPr>
              <w:t>自合同签订之日起15天内完成研究报告初稿并征求采购人意见建议，收到采购人修改意见10天内</w:t>
            </w:r>
            <w:r>
              <w:rPr>
                <w:rFonts w:hint="eastAsia" w:ascii="宋体" w:hAnsi="宋体" w:cs="宋体"/>
                <w:bCs/>
                <w:sz w:val="24"/>
                <w:lang w:val="en-US" w:eastAsia="zh-CN"/>
              </w:rPr>
              <w:t>提交</w:t>
            </w:r>
            <w:r>
              <w:rPr>
                <w:rFonts w:hint="eastAsia" w:ascii="宋体" w:hAnsi="宋体" w:cs="宋体"/>
                <w:bCs/>
                <w:sz w:val="24"/>
              </w:rPr>
              <w:t>研究报告正式稿（一式四份及PPT汇报材料）。</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3.报价自报名截止之日后90天内有效。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r>
        <w:rPr>
          <w:rFonts w:hint="eastAsia" w:ascii="宋体" w:hAnsi="宋体"/>
          <w:b/>
          <w:bCs/>
          <w:sz w:val="24"/>
        </w:rPr>
        <w:br w:type="page"/>
      </w:r>
      <w:r>
        <w:rPr>
          <w:rFonts w:hint="eastAsia" w:ascii="宋体" w:hAnsi="宋体"/>
          <w:b/>
          <w:bCs/>
          <w:sz w:val="24"/>
        </w:rPr>
        <w:t>格式9 需求响应表</w:t>
      </w:r>
    </w:p>
    <w:p>
      <w:pPr>
        <w:spacing w:line="560" w:lineRule="exact"/>
      </w:pPr>
    </w:p>
    <w:p>
      <w:pPr>
        <w:jc w:val="center"/>
        <w:rPr>
          <w:sz w:val="44"/>
          <w:szCs w:val="44"/>
        </w:rPr>
      </w:pPr>
      <w:r>
        <w:rPr>
          <w:rFonts w:hint="eastAsia" w:ascii="宋体" w:hAnsi="宋体" w:cs="仿宋_GB2312"/>
          <w:b/>
          <w:sz w:val="44"/>
          <w:szCs w:val="44"/>
        </w:rPr>
        <w:t>需求响应表</w:t>
      </w:r>
    </w:p>
    <w:p>
      <w:pPr>
        <w:adjustRightInd w:val="0"/>
        <w:snapToGrid w:val="0"/>
        <w:spacing w:line="560" w:lineRule="exact"/>
        <w:jc w:val="left"/>
        <w:rPr>
          <w:rFonts w:ascii="宋体" w:hAnsi="宋体" w:cs="宋体"/>
          <w:b/>
          <w:bCs/>
          <w:sz w:val="24"/>
        </w:rPr>
      </w:pPr>
    </w:p>
    <w:p>
      <w:pPr>
        <w:adjustRightInd w:val="0"/>
        <w:snapToGrid w:val="0"/>
        <w:spacing w:line="560" w:lineRule="exact"/>
        <w:jc w:val="left"/>
        <w:rPr>
          <w:spacing w:val="-11"/>
          <w:sz w:val="44"/>
          <w:szCs w:val="44"/>
        </w:rPr>
      </w:pPr>
      <w:r>
        <w:rPr>
          <w:rFonts w:hint="eastAsia" w:ascii="宋体" w:hAnsi="宋体" w:cs="宋体"/>
          <w:b/>
          <w:bCs/>
          <w:spacing w:val="-11"/>
          <w:sz w:val="24"/>
        </w:rPr>
        <w:t>项目名称：中山市公共交通运输集团有限公司中山市城市公共交通高质量发展研究报告服务采购项目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rPr>
            </w:pPr>
            <w:r>
              <w:rPr>
                <w:rFonts w:hint="eastAsia" w:ascii="宋体" w:hAnsi="宋体"/>
                <w:b/>
                <w:szCs w:val="21"/>
              </w:rPr>
              <w:t>序号</w:t>
            </w:r>
          </w:p>
        </w:tc>
        <w:tc>
          <w:tcPr>
            <w:tcW w:w="4945" w:type="dxa"/>
            <w:vAlign w:val="center"/>
          </w:tcPr>
          <w:p>
            <w:pPr>
              <w:jc w:val="center"/>
              <w:rPr>
                <w:rFonts w:ascii="宋体" w:hAnsi="宋体"/>
                <w:b/>
                <w:szCs w:val="21"/>
              </w:rPr>
            </w:pPr>
            <w:r>
              <w:rPr>
                <w:rFonts w:hint="eastAsia" w:ascii="宋体" w:hAnsi="宋体"/>
                <w:b/>
                <w:szCs w:val="21"/>
              </w:rPr>
              <w:t>条款要求</w:t>
            </w:r>
          </w:p>
        </w:tc>
        <w:tc>
          <w:tcPr>
            <w:tcW w:w="1642" w:type="dxa"/>
            <w:vAlign w:val="center"/>
          </w:tcPr>
          <w:p>
            <w:pPr>
              <w:jc w:val="center"/>
              <w:rPr>
                <w:rFonts w:ascii="宋体" w:hAnsi="宋体"/>
                <w:b/>
                <w:szCs w:val="21"/>
              </w:rPr>
            </w:pPr>
            <w:r>
              <w:rPr>
                <w:rFonts w:hint="eastAsia" w:ascii="宋体" w:hAnsi="宋体"/>
                <w:b/>
                <w:szCs w:val="21"/>
              </w:rPr>
              <w:t>响应情况</w:t>
            </w:r>
          </w:p>
        </w:tc>
        <w:tc>
          <w:tcPr>
            <w:tcW w:w="1769" w:type="dxa"/>
            <w:vAlign w:val="center"/>
          </w:tcPr>
          <w:p>
            <w:pPr>
              <w:jc w:val="center"/>
              <w:rPr>
                <w:rFonts w:ascii="宋体" w:hAnsi="宋体"/>
                <w:b/>
                <w:szCs w:val="21"/>
              </w:rPr>
            </w:pPr>
            <w:r>
              <w:rPr>
                <w:rFonts w:hint="eastAsia" w:ascii="宋体" w:hAnsi="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1</w:t>
            </w:r>
          </w:p>
        </w:tc>
        <w:tc>
          <w:tcPr>
            <w:tcW w:w="4945" w:type="dxa"/>
            <w:vAlign w:val="center"/>
          </w:tcPr>
          <w:p>
            <w:pPr>
              <w:wordWrap w:val="0"/>
              <w:rPr>
                <w:rFonts w:ascii="宋体" w:hAnsi="宋体"/>
                <w:szCs w:val="21"/>
              </w:rPr>
            </w:pPr>
            <w:r>
              <w:rPr>
                <w:rFonts w:hint="eastAsia" w:ascii="宋体" w:hAnsi="宋体"/>
                <w:szCs w:val="21"/>
              </w:rPr>
              <w:t>完全理解并接受评选文件</w:t>
            </w:r>
            <w:r>
              <w:rPr>
                <w:rFonts w:hint="eastAsia" w:ascii="宋体" w:hAnsi="宋体"/>
                <w:szCs w:val="21"/>
                <w:lang w:val="en-GB"/>
              </w:rPr>
              <w:t>所列</w:t>
            </w:r>
            <w:r>
              <w:rPr>
                <w:rFonts w:hint="eastAsia" w:ascii="宋体" w:hAnsi="宋体"/>
                <w:szCs w:val="21"/>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2</w:t>
            </w:r>
          </w:p>
        </w:tc>
        <w:tc>
          <w:tcPr>
            <w:tcW w:w="4945" w:type="dxa"/>
            <w:vAlign w:val="center"/>
          </w:tcPr>
          <w:p>
            <w:pPr>
              <w:wordWrap w:val="0"/>
              <w:rPr>
                <w:rFonts w:ascii="宋体" w:hAnsi="宋体"/>
                <w:szCs w:val="21"/>
              </w:rPr>
            </w:pPr>
            <w:r>
              <w:rPr>
                <w:rFonts w:hint="eastAsia" w:ascii="宋体" w:hAnsi="宋体"/>
                <w:szCs w:val="21"/>
              </w:rPr>
              <w:t>完全理解供应商资质要求。</w:t>
            </w:r>
          </w:p>
        </w:tc>
        <w:tc>
          <w:tcPr>
            <w:tcW w:w="1642" w:type="dxa"/>
            <w:vAlign w:val="center"/>
          </w:tcPr>
          <w:p>
            <w:pPr>
              <w:pStyle w:val="63"/>
              <w:keepNext w:val="0"/>
              <w:adjustRightInd/>
              <w:spacing w:before="0" w:after="0" w:line="240" w:lineRule="auto"/>
              <w:textAlignment w:val="auto"/>
              <w:rPr>
                <w:snapToGrid/>
                <w:spacing w:val="0"/>
                <w:kern w:val="2"/>
                <w:sz w:val="21"/>
                <w:szCs w:val="24"/>
              </w:rPr>
            </w:pPr>
            <w:r>
              <w:rPr>
                <w:rFonts w:hint="eastAsia"/>
                <w:snapToGrid/>
                <w:spacing w:val="0"/>
                <w:kern w:val="2"/>
                <w:sz w:val="21"/>
                <w:szCs w:val="24"/>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3</w:t>
            </w:r>
          </w:p>
        </w:tc>
        <w:tc>
          <w:tcPr>
            <w:tcW w:w="4945" w:type="dxa"/>
            <w:vAlign w:val="center"/>
          </w:tcPr>
          <w:p>
            <w:pPr>
              <w:wordWrap w:val="0"/>
              <w:rPr>
                <w:rFonts w:ascii="宋体" w:hAnsi="宋体"/>
                <w:szCs w:val="21"/>
              </w:rPr>
            </w:pPr>
            <w:r>
              <w:rPr>
                <w:rFonts w:hint="eastAsia" w:ascii="宋体" w:hAnsi="宋体"/>
                <w:szCs w:val="21"/>
              </w:rPr>
              <w:t>完全理解并接受对参评供应商的各项须知、规约要求和责任义务。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4</w:t>
            </w:r>
          </w:p>
        </w:tc>
        <w:tc>
          <w:tcPr>
            <w:tcW w:w="4945" w:type="dxa"/>
            <w:vAlign w:val="center"/>
          </w:tcPr>
          <w:p>
            <w:pPr>
              <w:wordWrap w:val="0"/>
              <w:rPr>
                <w:rFonts w:ascii="宋体" w:hAnsi="宋体"/>
                <w:szCs w:val="21"/>
              </w:rPr>
            </w:pPr>
            <w:r>
              <w:rPr>
                <w:rFonts w:hint="eastAsia" w:ascii="宋体" w:hAnsi="宋体"/>
                <w:szCs w:val="21"/>
              </w:rPr>
              <w:t>用户需求书关于成果内容及要求。</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5</w:t>
            </w:r>
          </w:p>
        </w:tc>
        <w:tc>
          <w:tcPr>
            <w:tcW w:w="4945" w:type="dxa"/>
            <w:vAlign w:val="center"/>
          </w:tcPr>
          <w:p>
            <w:pPr>
              <w:wordWrap w:val="0"/>
              <w:rPr>
                <w:rFonts w:ascii="宋体" w:hAnsi="宋体"/>
                <w:szCs w:val="21"/>
              </w:rPr>
            </w:pPr>
            <w:r>
              <w:rPr>
                <w:rFonts w:hint="eastAsia" w:ascii="宋体" w:hAnsi="宋体"/>
                <w:szCs w:val="21"/>
              </w:rPr>
              <w:t>关于付款方式。</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6</w:t>
            </w:r>
          </w:p>
        </w:tc>
        <w:tc>
          <w:tcPr>
            <w:tcW w:w="4945" w:type="dxa"/>
            <w:vAlign w:val="center"/>
          </w:tcPr>
          <w:p>
            <w:pPr>
              <w:wordWrap w:val="0"/>
              <w:rPr>
                <w:rFonts w:ascii="宋体" w:hAnsi="宋体"/>
                <w:szCs w:val="21"/>
              </w:rPr>
            </w:pPr>
            <w:r>
              <w:rPr>
                <w:rFonts w:hint="eastAsia" w:ascii="宋体" w:hAnsi="宋体"/>
                <w:szCs w:val="21"/>
              </w:rPr>
              <w:t>报价内容均涵盖报价要求之一切费用和伴随服务。</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rPr>
            </w:pPr>
            <w:r>
              <w:rPr>
                <w:rFonts w:hint="eastAsia" w:ascii="宋体" w:hAnsi="宋体"/>
                <w:szCs w:val="21"/>
              </w:rPr>
              <w:t>7</w:t>
            </w:r>
          </w:p>
        </w:tc>
        <w:tc>
          <w:tcPr>
            <w:tcW w:w="4945" w:type="dxa"/>
            <w:vAlign w:val="center"/>
          </w:tcPr>
          <w:p>
            <w:pPr>
              <w:wordWrap w:val="0"/>
              <w:rPr>
                <w:rFonts w:ascii="宋体" w:hAnsi="宋体"/>
                <w:szCs w:val="21"/>
              </w:rPr>
            </w:pPr>
            <w:r>
              <w:rPr>
                <w:rFonts w:hint="eastAsia" w:ascii="宋体" w:hAnsi="宋体"/>
                <w:szCs w:val="21"/>
              </w:rPr>
              <w:t>同意采购人以任何形式对我方参评文件内容的真实性和有效性进行审查、验证。</w:t>
            </w:r>
          </w:p>
        </w:tc>
        <w:tc>
          <w:tcPr>
            <w:tcW w:w="1642" w:type="dxa"/>
            <w:vAlign w:val="center"/>
          </w:tcPr>
          <w:p>
            <w:pPr>
              <w:jc w:val="center"/>
              <w:rPr>
                <w:rFonts w:ascii="宋体" w:hAnsi="宋体"/>
                <w:szCs w:val="21"/>
              </w:rPr>
            </w:pPr>
            <w:r>
              <w:rPr>
                <w:rFonts w:hint="eastAsia"/>
              </w:rPr>
              <w:t>□完全响应  □部分响应</w:t>
            </w:r>
          </w:p>
        </w:tc>
        <w:tc>
          <w:tcPr>
            <w:tcW w:w="1769" w:type="dxa"/>
            <w:vAlign w:val="center"/>
          </w:tcPr>
          <w:p>
            <w:pPr>
              <w:jc w:val="center"/>
              <w:rPr>
                <w:rFonts w:ascii="宋体" w:hAnsi="宋体"/>
                <w:szCs w:val="21"/>
              </w:rPr>
            </w:pPr>
          </w:p>
        </w:tc>
      </w:tr>
    </w:tbl>
    <w:p>
      <w:pPr>
        <w:ind w:left="630" w:hanging="630" w:hangingChars="300"/>
        <w:jc w:val="left"/>
        <w:rPr>
          <w:rFonts w:ascii="宋体" w:hAnsi="宋体"/>
          <w:szCs w:val="21"/>
          <w:lang w:val="en-GB"/>
        </w:rPr>
      </w:pPr>
    </w:p>
    <w:p>
      <w:pPr>
        <w:jc w:val="left"/>
        <w:rPr>
          <w:sz w:val="44"/>
          <w:szCs w:val="44"/>
        </w:rPr>
      </w:pPr>
      <w:r>
        <w:rPr>
          <w:rFonts w:hint="eastAsia" w:ascii="宋体" w:hAnsi="宋体"/>
          <w:szCs w:val="21"/>
        </w:rPr>
        <w:t>注：对于上述要求，如参评供应商完全响应，则请在“响应情况”栏的“完全响应”框打“√”，对空白或“部分响应”框打“√”视为偏离，请在“偏离说明”栏内扼要说明偏离情况。</w:t>
      </w:r>
    </w:p>
    <w:p>
      <w:pPr>
        <w:jc w:val="center"/>
        <w:rPr>
          <w:sz w:val="44"/>
          <w:szCs w:val="44"/>
        </w:rPr>
      </w:pPr>
    </w:p>
    <w:p>
      <w:pPr>
        <w:adjustRightInd w:val="0"/>
        <w:snapToGrid w:val="0"/>
        <w:spacing w:line="560" w:lineRule="exact"/>
        <w:rPr>
          <w:rFonts w:ascii="宋体" w:hAnsi="宋体"/>
          <w:bCs/>
          <w:sz w:val="24"/>
        </w:rPr>
      </w:pPr>
      <w:r>
        <w:rPr>
          <w:rFonts w:hint="eastAsia" w:ascii="宋体" w:hAnsi="宋体"/>
          <w:bCs/>
          <w:sz w:val="24"/>
        </w:rPr>
        <w:t>参评供应商（盖章）：</w:t>
      </w:r>
    </w:p>
    <w:p>
      <w:pPr>
        <w:adjustRightInd w:val="0"/>
        <w:snapToGrid w:val="0"/>
        <w:spacing w:line="560" w:lineRule="exact"/>
        <w:rPr>
          <w:rFonts w:ascii="宋体" w:hAnsi="宋体" w:cs="宋体"/>
          <w:sz w:val="24"/>
        </w:rPr>
      </w:pPr>
      <w:r>
        <w:rPr>
          <w:rFonts w:hint="eastAsia" w:ascii="宋体" w:hAnsi="宋体"/>
          <w:bCs/>
          <w:sz w:val="24"/>
        </w:rPr>
        <w:t>日期：</w:t>
      </w:r>
    </w:p>
    <w:p>
      <w:pPr>
        <w:rPr>
          <w:rFonts w:ascii="宋体" w:hAnsi="宋体" w:cs="宋体"/>
          <w:sz w:val="24"/>
        </w:rPr>
      </w:pPr>
    </w:p>
    <w:p>
      <w:pPr>
        <w:pStyle w:val="12"/>
        <w:rPr>
          <w:rFonts w:ascii="宋体" w:hAnsi="宋体" w:cs="宋体"/>
          <w:sz w:val="24"/>
          <w:szCs w:val="24"/>
        </w:rPr>
      </w:pPr>
    </w:p>
    <w:p>
      <w:pPr>
        <w:rPr>
          <w:rFonts w:ascii="宋体" w:hAnsi="宋体" w:cs="宋体"/>
          <w:sz w:val="24"/>
        </w:rPr>
      </w:pPr>
    </w:p>
    <w:p>
      <w:pPr>
        <w:pStyle w:val="12"/>
        <w:rPr>
          <w:rFonts w:ascii="宋体" w:hAnsi="宋体" w:cs="宋体"/>
          <w:sz w:val="24"/>
          <w:szCs w:val="24"/>
        </w:rPr>
      </w:pPr>
    </w:p>
    <w:p>
      <w:pPr>
        <w:rPr>
          <w:rFonts w:ascii="宋体" w:hAnsi="宋体" w:cs="宋体"/>
          <w:sz w:val="24"/>
        </w:rPr>
      </w:pPr>
    </w:p>
    <w:p>
      <w:pPr>
        <w:pStyle w:val="12"/>
        <w:rPr>
          <w:rFonts w:ascii="宋体" w:hAnsi="宋体" w:cs="宋体"/>
          <w:sz w:val="24"/>
          <w:szCs w:val="24"/>
        </w:rPr>
      </w:pPr>
    </w:p>
    <w:bookmarkEnd w:id="0"/>
    <w:bookmarkEnd w:id="4"/>
    <w:p>
      <w:pPr>
        <w:pStyle w:val="12"/>
      </w:pPr>
    </w:p>
    <w:sectPr>
      <w:headerReference r:id="rId15" w:type="default"/>
      <w:footerReference r:id="rId16"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ZGNlOGYwZjk0Y2ZkOGYzNDM2ZDc0MDJlMjFkNmM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B038FA"/>
    <w:rsid w:val="0AB42826"/>
    <w:rsid w:val="0ACE526C"/>
    <w:rsid w:val="0ACF685A"/>
    <w:rsid w:val="0ADD0260"/>
    <w:rsid w:val="0B1378FA"/>
    <w:rsid w:val="0B176497"/>
    <w:rsid w:val="0B210255"/>
    <w:rsid w:val="0B627B1C"/>
    <w:rsid w:val="0B7569DD"/>
    <w:rsid w:val="0BDC6240"/>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6FC3E17"/>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4F721C"/>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7C537A"/>
    <w:rsid w:val="2A8D0BC5"/>
    <w:rsid w:val="2A9D6489"/>
    <w:rsid w:val="2AAE5511"/>
    <w:rsid w:val="2B3A611D"/>
    <w:rsid w:val="2B3A7863"/>
    <w:rsid w:val="2B4A23FD"/>
    <w:rsid w:val="2B5F4365"/>
    <w:rsid w:val="2B836CA6"/>
    <w:rsid w:val="2B857219"/>
    <w:rsid w:val="2B8E2A76"/>
    <w:rsid w:val="2B972B67"/>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D50473"/>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3A2D00"/>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603955"/>
    <w:rsid w:val="52972888"/>
    <w:rsid w:val="52AB2167"/>
    <w:rsid w:val="52AC506F"/>
    <w:rsid w:val="52CC3259"/>
    <w:rsid w:val="52DC7ADA"/>
    <w:rsid w:val="52EE16A6"/>
    <w:rsid w:val="52EE4555"/>
    <w:rsid w:val="530F7F4A"/>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E0593D"/>
    <w:rsid w:val="551C775D"/>
    <w:rsid w:val="553F0A67"/>
    <w:rsid w:val="55402FB8"/>
    <w:rsid w:val="555464AA"/>
    <w:rsid w:val="555A05A2"/>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4B6345"/>
    <w:rsid w:val="6CA56566"/>
    <w:rsid w:val="6CB6087E"/>
    <w:rsid w:val="6D005DA3"/>
    <w:rsid w:val="6D0E4BFD"/>
    <w:rsid w:val="6D830B7D"/>
    <w:rsid w:val="6D9914F3"/>
    <w:rsid w:val="6DD14EB6"/>
    <w:rsid w:val="6E0779B6"/>
    <w:rsid w:val="6E3F02ED"/>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BE350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spacing w:line="360" w:lineRule="auto"/>
      <w:ind w:left="608" w:hanging="608"/>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3"/>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9"/>
    <w:qFormat/>
    <w:uiPriority w:val="0"/>
    <w:rPr>
      <w:rFonts w:ascii="宋体"/>
      <w:kern w:val="2"/>
      <w:sz w:val="24"/>
      <w:szCs w:val="24"/>
    </w:rPr>
  </w:style>
  <w:style w:type="character" w:customStyle="1" w:styleId="41">
    <w:name w:val="批注文字 字符"/>
    <w:link w:val="10"/>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1085</Words>
  <Characters>6190</Characters>
  <Lines>51</Lines>
  <Paragraphs>14</Paragraphs>
  <TotalTime>9</TotalTime>
  <ScaleCrop>false</ScaleCrop>
  <LinksUpToDate>false</LinksUpToDate>
  <CharactersWithSpaces>7261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Rem</cp:lastModifiedBy>
  <cp:lastPrinted>2023-10-11T09:43:00Z</cp:lastPrinted>
  <dcterms:modified xsi:type="dcterms:W3CDTF">2023-12-04T07:32:39Z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5D6C5C17CA924A60A79E886289BEA777_13</vt:lpwstr>
  </property>
</Properties>
</file>