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0"/>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各车队（车间）购置消防器材</w:t>
      </w:r>
      <w:r>
        <w:rPr>
          <w:rFonts w:hint="eastAsia" w:ascii="宋体" w:hAnsi="宋体" w:eastAsia="宋体" w:cs="宋体"/>
          <w:b/>
          <w:color w:val="auto"/>
          <w:kern w:val="0"/>
          <w:sz w:val="44"/>
          <w:szCs w:val="44"/>
          <w:highlight w:val="none"/>
          <w:lang w:eastAsia="zh-CN"/>
        </w:rPr>
        <w:t>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2"/>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2"/>
        <w:rPr>
          <w:rFonts w:hint="eastAsia"/>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17"/>
        <w:rPr>
          <w:rFonts w:hint="eastAsia" w:ascii="宋体" w:hAnsi="宋体" w:eastAsia="宋体" w:cs="宋体"/>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2"/>
        <w:keepNext w:val="0"/>
        <w:pageBreakBefore w:val="0"/>
        <w:kinsoku/>
        <w:wordWrap w:val="0"/>
        <w:overflowPunct/>
        <w:topLinePunct w:val="0"/>
        <w:bidi w:val="0"/>
        <w:rPr>
          <w:rFonts w:hint="eastAsia" w:ascii="宋体" w:hAnsi="宋体" w:eastAsia="宋体" w:cs="宋体"/>
          <w:highlight w:val="none"/>
        </w:rPr>
      </w:pPr>
    </w:p>
    <w:p>
      <w:pPr>
        <w:pStyle w:val="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17"/>
        <w:rPr>
          <w:rFonts w:hint="eastAsia" w:ascii="宋体" w:hAnsi="宋体" w:eastAsia="宋体" w:cs="宋体"/>
          <w:highlight w:val="none"/>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w:t>
      </w:r>
      <w:r>
        <w:rPr>
          <w:rFonts w:hint="eastAsia" w:ascii="宋体" w:hAnsi="宋体" w:eastAsia="宋体" w:cs="宋体"/>
          <w:b w:val="0"/>
          <w:bCs w:val="0"/>
          <w:i w:val="0"/>
          <w:iCs w:val="0"/>
          <w:sz w:val="32"/>
          <w:szCs w:val="32"/>
          <w:highlight w:val="none"/>
          <w:lang w:val="en-US" w:eastAsia="zh-CN"/>
        </w:rPr>
        <w:t>各车队（车间）购置消防器材项目进行公开采购，欢迎符合资格</w:t>
      </w:r>
      <w:r>
        <w:rPr>
          <w:rFonts w:hint="eastAsia" w:ascii="宋体" w:hAnsi="宋体" w:eastAsia="宋体" w:cs="宋体"/>
          <w:b w:val="0"/>
          <w:bCs w:val="0"/>
          <w:sz w:val="32"/>
          <w:szCs w:val="32"/>
          <w:highlight w:val="none"/>
          <w:lang w:val="en-US" w:eastAsia="zh-CN"/>
        </w:rPr>
        <w:t>条件的供应商参与报价评选，有关事项如下：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项目名称：各车队（车间）购置消防器材</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采购限价：不高于￥84490.43元</w:t>
      </w:r>
    </w:p>
    <w:p>
      <w:pPr>
        <w:pStyle w:val="17"/>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（一）须具有独立承担民事责任能力的在中华人民共和国境内注册的法人或其他组织，且</w:t>
      </w:r>
      <w:r>
        <w:rPr>
          <w:rFonts w:hint="eastAsia" w:ascii="宋体" w:hAnsi="宋体" w:eastAsia="宋体" w:cs="宋体"/>
          <w:b/>
          <w:bCs/>
          <w:sz w:val="32"/>
          <w:szCs w:val="32"/>
          <w:highlight w:val="none"/>
          <w:lang w:val="en-US" w:eastAsia="zh-CN"/>
        </w:rPr>
        <w:t>具备消防器材供应资格</w:t>
      </w:r>
      <w:r>
        <w:rPr>
          <w:rFonts w:hint="eastAsia" w:ascii="宋体" w:hAnsi="宋体" w:eastAsia="宋体" w:cs="宋体"/>
          <w:b w:val="0"/>
          <w:bCs w:val="0"/>
          <w:sz w:val="32"/>
          <w:szCs w:val="32"/>
          <w:highlight w:val="none"/>
          <w:lang w:val="en-US" w:eastAsia="zh-CN"/>
        </w:rPr>
        <w:t>。</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（二）供应商未被列入“信用中国”网站（www.creditchina.gov.cn）“失信被执行人”（以评审当天现场查询供应商在“信用中国”网站的结果为准，如相关失信记录已失效，供应商需提供相关证明资料）。</w:t>
      </w:r>
    </w:p>
    <w:p>
      <w:pPr>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320" w:firstLineChars="1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（三）本项目不接受联合体投标参评。</w:t>
      </w:r>
    </w:p>
    <w:p>
      <w:pPr>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320" w:firstLineChars="1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（四）不得将本项目分包、转包。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w:t>
      </w:r>
      <w:r>
        <w:rPr>
          <w:rFonts w:hint="eastAsia" w:ascii="宋体" w:hAnsi="宋体" w:eastAsia="宋体" w:cs="宋体"/>
          <w:sz w:val="32"/>
          <w:szCs w:val="32"/>
          <w:highlight w:val="none"/>
          <w:lang w:val="en-US" w:eastAsia="zh-CN"/>
        </w:rPr>
        <w:t>供应商</w:t>
      </w:r>
      <w:r>
        <w:rPr>
          <w:rFonts w:hint="eastAsia" w:ascii="宋体" w:hAnsi="宋体" w:eastAsia="宋体" w:cs="宋体"/>
          <w:sz w:val="32"/>
          <w:szCs w:val="32"/>
          <w:highlight w:val="none"/>
          <w:lang w:eastAsia="zh-CN"/>
        </w:rPr>
        <w:t>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2023年11月20日15时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（一）参评文件一式壹份，</w:t>
      </w:r>
      <w:bookmarkStart w:id="2" w:name="_GoBack"/>
      <w:bookmarkEnd w:id="2"/>
      <w:r>
        <w:rPr>
          <w:rFonts w:hint="eastAsia" w:ascii="宋体" w:hAnsi="宋体" w:eastAsia="宋体" w:cs="宋体"/>
          <w:b w:val="0"/>
          <w:bCs w:val="0"/>
          <w:sz w:val="32"/>
          <w:szCs w:val="32"/>
          <w:highlight w:val="none"/>
          <w:lang w:val="en-US" w:eastAsia="zh-CN"/>
        </w:rPr>
        <w:t>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2023年11月20日15时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各车队（车间）购置消防器材项目）彭先生（15972926258）。参评文件可邮寄，封面请注明“各车队（车间）购置消防器材项目”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（一）评审时间：2023年11月20日15:05。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（二）评审地点：中山公交集团城南办公楼会议室，评审时供应商无需到场参加。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2"/>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联系人及联系电话：秦先生 13702780636</w:t>
      </w:r>
    </w:p>
    <w:p>
      <w:pPr>
        <w:keepNext w:val="0"/>
        <w:keepLines w:val="0"/>
        <w:pageBreakBefore w:val="0"/>
        <w:widowControl/>
        <w:numPr>
          <w:ilvl w:val="0"/>
          <w:numId w:val="2"/>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w:t>
      </w:r>
      <w:r>
        <w:rPr>
          <w:rFonts w:hint="eastAsia" w:ascii="宋体" w:hAnsi="宋体" w:eastAsia="宋体" w:cs="宋体"/>
          <w:b w:val="0"/>
          <w:bCs w:val="0"/>
          <w:kern w:val="2"/>
          <w:sz w:val="32"/>
          <w:szCs w:val="32"/>
          <w:highlight w:val="none"/>
          <w:lang w:val="en-US" w:eastAsia="zh-CN" w:bidi="ar-SA"/>
        </w:rPr>
        <w:t>84490.43元</w:t>
      </w:r>
      <w:r>
        <w:rPr>
          <w:rFonts w:hint="eastAsia" w:ascii="宋体" w:hAnsi="宋体" w:eastAsia="宋体" w:cs="宋体"/>
          <w:b w:val="0"/>
          <w:bCs w:val="0"/>
          <w:sz w:val="32"/>
          <w:szCs w:val="32"/>
          <w:highlight w:val="none"/>
          <w:lang w:val="en-US" w:eastAsia="zh-CN"/>
        </w:rPr>
        <w:t>。供应商所报价格包含运输送货、保险、保管以及售后服务费、增值税专用税费等全部费用，未经采购人书面同意，供应商不得向采购人额外收取其他费用。</w:t>
      </w:r>
    </w:p>
    <w:p>
      <w:pPr>
        <w:pStyle w:val="2"/>
        <w:ind w:firstLine="640" w:firstLineChars="200"/>
        <w:rPr>
          <w:rFonts w:hint="eastAsia"/>
          <w:highlight w:val="none"/>
          <w:lang w:val="en-US" w:eastAsia="zh-CN"/>
        </w:rPr>
      </w:pP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lang w:val="en-US"/>
        </w:rPr>
        <w:t>本询价文件中凡标有星号“★”的地方均被视为重要的响应要求。</w:t>
      </w:r>
      <w:r>
        <w:rPr>
          <w:rFonts w:hint="eastAsia" w:ascii="宋体" w:hAnsi="宋体" w:eastAsia="宋体" w:cs="宋体"/>
          <w:sz w:val="32"/>
          <w:szCs w:val="32"/>
          <w:highlight w:val="none"/>
          <w:lang w:val="en-US" w:eastAsia="zh-CN"/>
        </w:rPr>
        <w:t>供应商</w:t>
      </w:r>
      <w:r>
        <w:rPr>
          <w:rFonts w:hint="eastAsia" w:ascii="宋体" w:hAnsi="宋体" w:eastAsia="宋体" w:cs="宋体"/>
          <w:sz w:val="32"/>
          <w:szCs w:val="32"/>
          <w:highlight w:val="none"/>
          <w:lang w:val="en-US"/>
        </w:rPr>
        <w:t>要特别加以注意且必须对此作出回答并完全满足这些要求。任何</w:t>
      </w:r>
      <w:r>
        <w:rPr>
          <w:rFonts w:hint="eastAsia" w:ascii="宋体" w:hAnsi="宋体" w:eastAsia="宋体" w:cs="宋体"/>
          <w:sz w:val="32"/>
          <w:szCs w:val="32"/>
          <w:highlight w:val="none"/>
          <w:lang w:val="en-US" w:eastAsia="zh-CN"/>
        </w:rPr>
        <w:t>负</w:t>
      </w:r>
      <w:r>
        <w:rPr>
          <w:rFonts w:hint="eastAsia" w:ascii="宋体" w:hAnsi="宋体" w:eastAsia="宋体" w:cs="宋体"/>
          <w:sz w:val="32"/>
          <w:szCs w:val="32"/>
          <w:highlight w:val="none"/>
          <w:lang w:val="en-US"/>
        </w:rPr>
        <w:t>偏离都有可能导致</w:t>
      </w:r>
      <w:r>
        <w:rPr>
          <w:rFonts w:hint="eastAsia" w:ascii="宋体" w:hAnsi="宋体" w:eastAsia="宋体" w:cs="宋体"/>
          <w:sz w:val="32"/>
          <w:szCs w:val="32"/>
          <w:highlight w:val="none"/>
          <w:lang w:val="en-US" w:eastAsia="zh-CN"/>
        </w:rPr>
        <w:t>失去参评资格</w:t>
      </w:r>
      <w:r>
        <w:rPr>
          <w:rFonts w:hint="eastAsia" w:ascii="宋体" w:hAnsi="宋体" w:eastAsia="宋体" w:cs="宋体"/>
          <w:sz w:val="32"/>
          <w:szCs w:val="32"/>
          <w:highlight w:val="none"/>
          <w:lang w:val="en-US"/>
        </w:rPr>
        <w:t>。</w:t>
      </w:r>
    </w:p>
    <w:p>
      <w:pPr>
        <w:pStyle w:val="17"/>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 xml:space="preserve">   </w:t>
      </w:r>
      <w:r>
        <w:rPr>
          <w:rFonts w:hint="eastAsia" w:ascii="宋体" w:hAnsi="宋体" w:eastAsia="宋体" w:cs="宋体"/>
          <w:sz w:val="32"/>
          <w:szCs w:val="32"/>
          <w:highlight w:val="none"/>
          <w:lang w:val="en-US"/>
        </w:rPr>
        <w:t>★</w:t>
      </w:r>
      <w:r>
        <w:rPr>
          <w:rFonts w:hint="eastAsia" w:ascii="宋体" w:hAnsi="宋体" w:eastAsia="宋体" w:cs="宋体"/>
          <w:b w:val="0"/>
          <w:bCs w:val="0"/>
          <w:kern w:val="2"/>
          <w:sz w:val="32"/>
          <w:szCs w:val="32"/>
          <w:highlight w:val="none"/>
          <w:lang w:val="en-US" w:eastAsia="zh-CN" w:bidi="ar-SA"/>
        </w:rPr>
        <w:t>（四）产品要求</w:t>
      </w:r>
    </w:p>
    <w:p>
      <w:pPr>
        <w:pStyle w:val="17"/>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 xml:space="preserve">    1、参与报价的主要消防产品（如灭火器）应该在中国消防产品信息网（http://www.cccf.com.cn/）上进行过备案的产品，且相关产品证书在有效期内；</w:t>
      </w:r>
    </w:p>
    <w:p>
      <w:pPr>
        <w:pStyle w:val="17"/>
        <w:ind w:firstLine="640"/>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2、属强制认证的产品必须有CCC认证标志。</w:t>
      </w:r>
    </w:p>
    <w:p>
      <w:pPr>
        <w:pStyle w:val="17"/>
        <w:ind w:firstLine="640"/>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3、参评人中选后，采购人有权要求中选人提供以上资料。</w:t>
      </w:r>
    </w:p>
    <w:p>
      <w:pPr>
        <w:pStyle w:val="17"/>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（五）合同期</w:t>
      </w:r>
    </w:p>
    <w:p>
      <w:pPr>
        <w:pStyle w:val="17"/>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自送货之日起至产品质保期满之日止</w:t>
      </w:r>
    </w:p>
    <w:p>
      <w:pPr>
        <w:pStyle w:val="17"/>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（六）送货时限</w:t>
      </w:r>
    </w:p>
    <w:p>
      <w:pPr>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320" w:firstLineChars="1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val="en-US"/>
        </w:rPr>
        <w:t>★</w:t>
      </w:r>
      <w:r>
        <w:rPr>
          <w:rFonts w:hint="eastAsia" w:ascii="宋体" w:hAnsi="宋体" w:eastAsia="宋体" w:cs="宋体"/>
          <w:b w:val="0"/>
          <w:bCs w:val="0"/>
          <w:sz w:val="32"/>
          <w:szCs w:val="32"/>
          <w:highlight w:val="none"/>
          <w:lang w:val="en-US" w:eastAsia="zh-CN"/>
        </w:rPr>
        <w:t>1、中选人在收到中选通知之日起5个工作日向采购人按采购人的要求将货物送达采购人在中山市内的指定站点。</w:t>
      </w:r>
    </w:p>
    <w:p>
      <w:pPr>
        <w:pStyle w:val="2"/>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2、中选人若延迟交货，每延迟1天扣款200元，由采购人直接在结算款中扣除。</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（七）付款方式</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val="en-US"/>
        </w:rPr>
        <w:t>★</w:t>
      </w:r>
      <w:r>
        <w:rPr>
          <w:rFonts w:hint="eastAsia" w:ascii="宋体" w:hAnsi="宋体" w:eastAsia="宋体" w:cs="宋体"/>
          <w:b w:val="0"/>
          <w:bCs w:val="0"/>
          <w:sz w:val="32"/>
          <w:szCs w:val="32"/>
          <w:highlight w:val="none"/>
          <w:lang w:val="en-US" w:eastAsia="zh-CN"/>
        </w:rPr>
        <w:t>1、采购人在收到中选人送达的货物并领用出库后，从出库月份的下个月开始的6个月内通过银行转账方式支付。</w:t>
      </w:r>
    </w:p>
    <w:p>
      <w:pPr>
        <w:keepNext w:val="0"/>
        <w:keepLines w:val="0"/>
        <w:pageBreakBefore w:val="0"/>
        <w:numPr>
          <w:ilvl w:val="0"/>
          <w:numId w:val="0"/>
        </w:numPr>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2、款项支付前，中选人须向采购人提供相应款项的增值税专用发票。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（一）送货地点：采购人在中山市内的指定站点。</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（二）项目涉及消防产品：</w:t>
      </w:r>
    </w:p>
    <w:tbl>
      <w:tblPr>
        <w:tblStyle w:val="15"/>
        <w:tblW w:w="9924" w:type="dxa"/>
        <w:jc w:val="center"/>
        <w:tblInd w:w="0" w:type="dxa"/>
        <w:tblLayout w:type="fixed"/>
        <w:tblCellMar>
          <w:top w:w="0" w:type="dxa"/>
          <w:left w:w="0" w:type="dxa"/>
          <w:bottom w:w="0" w:type="dxa"/>
          <w:right w:w="0" w:type="dxa"/>
        </w:tblCellMar>
      </w:tblPr>
      <w:tblGrid>
        <w:gridCol w:w="2024"/>
        <w:gridCol w:w="1004"/>
        <w:gridCol w:w="1300"/>
        <w:gridCol w:w="1647"/>
        <w:gridCol w:w="1647"/>
        <w:gridCol w:w="2302"/>
      </w:tblGrid>
      <w:tr>
        <w:tblPrEx>
          <w:tblLayout w:type="fixed"/>
          <w:tblCellMar>
            <w:top w:w="0" w:type="dxa"/>
            <w:left w:w="0" w:type="dxa"/>
            <w:bottom w:w="0" w:type="dxa"/>
            <w:right w:w="0" w:type="dxa"/>
          </w:tblCellMar>
        </w:tblPrEx>
        <w:trPr>
          <w:trHeight w:val="560"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货物名称</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规格</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最高</w:t>
            </w:r>
            <w:r>
              <w:rPr>
                <w:rFonts w:hint="eastAsia" w:ascii="宋体" w:hAnsi="宋体" w:eastAsia="宋体" w:cs="宋体"/>
                <w:b/>
                <w:bCs/>
                <w:color w:val="auto"/>
                <w:sz w:val="21"/>
                <w:szCs w:val="21"/>
                <w:highlight w:val="none"/>
              </w:rPr>
              <w:t>限价（元</w:t>
            </w:r>
            <w:r>
              <w:rPr>
                <w:rFonts w:hint="eastAsia" w:ascii="宋体" w:hAnsi="宋体" w:eastAsia="宋体" w:cs="宋体"/>
                <w:b/>
                <w:bCs/>
                <w:color w:val="auto"/>
                <w:sz w:val="21"/>
                <w:szCs w:val="21"/>
                <w:highlight w:val="none"/>
                <w:lang w:val="en-US" w:eastAsia="zh-CN"/>
              </w:rPr>
              <w:t>/件</w:t>
            </w:r>
            <w:r>
              <w:rPr>
                <w:rFonts w:hint="eastAsia" w:ascii="宋体" w:hAnsi="宋体" w:eastAsia="宋体" w:cs="宋体"/>
                <w:b/>
                <w:bCs/>
                <w:color w:val="auto"/>
                <w:sz w:val="21"/>
                <w:szCs w:val="21"/>
                <w:highlight w:val="none"/>
              </w:rPr>
              <w:t>）</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单项小计限价（元）</w:t>
            </w:r>
          </w:p>
        </w:tc>
      </w:tr>
      <w:tr>
        <w:tblPrEx>
          <w:tblLayout w:type="fixed"/>
          <w:tblCellMar>
            <w:top w:w="0" w:type="dxa"/>
            <w:left w:w="0" w:type="dxa"/>
            <w:bottom w:w="0" w:type="dxa"/>
            <w:right w:w="0" w:type="dxa"/>
          </w:tblCellMar>
        </w:tblPrEx>
        <w:trPr>
          <w:trHeight w:val="90"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干粉ABC灭火器</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支</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1375</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4Kg</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58.67</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80671.25</w:t>
            </w:r>
          </w:p>
        </w:tc>
      </w:tr>
      <w:tr>
        <w:tblPrEx>
          <w:tblLayout w:type="fixed"/>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手推灭火器</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35Kg</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599.50</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599.50</w:t>
            </w:r>
          </w:p>
        </w:tc>
      </w:tr>
      <w:tr>
        <w:tblPrEx>
          <w:tblLayout w:type="fixed"/>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手推灭火器套</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35Kg</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46.25</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925.00</w:t>
            </w:r>
          </w:p>
        </w:tc>
      </w:tr>
      <w:tr>
        <w:tblPrEx>
          <w:tblLayout w:type="fixed"/>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消防水带</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条</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25米</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176.67</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1766.70</w:t>
            </w:r>
          </w:p>
        </w:tc>
      </w:tr>
      <w:tr>
        <w:tblPrEx>
          <w:tblLayout w:type="fixed"/>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消防水带枪头</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DN65</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27.33</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163.98</w:t>
            </w:r>
          </w:p>
        </w:tc>
      </w:tr>
      <w:tr>
        <w:tblPrEx>
          <w:tblLayout w:type="fixed"/>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消防板手</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把</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w:t>
            </w:r>
          </w:p>
        </w:tc>
        <w:tc>
          <w:tcPr>
            <w:tcW w:w="1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26.00</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364.00</w:t>
            </w:r>
          </w:p>
        </w:tc>
      </w:tr>
      <w:tr>
        <w:tblPrEx>
          <w:tblLayout w:type="fixed"/>
          <w:tblCellMar>
            <w:top w:w="0" w:type="dxa"/>
            <w:left w:w="0" w:type="dxa"/>
            <w:bottom w:w="0" w:type="dxa"/>
            <w:right w:w="0" w:type="dxa"/>
          </w:tblCellMar>
        </w:tblPrEx>
        <w:trPr>
          <w:trHeight w:val="475" w:hRule="atLeast"/>
          <w:jc w:val="center"/>
        </w:trPr>
        <w:tc>
          <w:tcPr>
            <w:tcW w:w="762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   计</w:t>
            </w:r>
          </w:p>
        </w:tc>
        <w:tc>
          <w:tcPr>
            <w:tcW w:w="2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84490.43</w:t>
            </w:r>
          </w:p>
        </w:tc>
      </w:tr>
    </w:tbl>
    <w:p>
      <w:pPr>
        <w:keepNext w:val="0"/>
        <w:keepLines w:val="0"/>
        <w:pageBreakBefore w:val="0"/>
        <w:kinsoku/>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Cs w:val="21"/>
          <w:highlight w:val="none"/>
          <w:lang w:val="en-US" w:eastAsia="zh-CN"/>
        </w:rPr>
      </w:pPr>
    </w:p>
    <w:p>
      <w:pPr>
        <w:keepNext w:val="0"/>
        <w:keepLines w:val="0"/>
        <w:pageBreakBefore w:val="0"/>
        <w:kinsoku/>
        <w:overflowPunct/>
        <w:topLinePunct w:val="0"/>
        <w:autoSpaceDE/>
        <w:autoSpaceDN/>
        <w:bidi w:val="0"/>
        <w:adjustRightInd/>
        <w:snapToGrid/>
        <w:ind w:firstLine="42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color w:val="auto"/>
          <w:szCs w:val="21"/>
          <w:highlight w:val="none"/>
          <w:lang w:val="en-US" w:eastAsia="zh-CN"/>
        </w:rPr>
        <w:t>表中数量为暂定数量，采购人有权按实际需要对本项目采购货物数量作适量减少。</w:t>
      </w: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供应商确定为有效报价人，定价小组根据“最低价中标原则”确定一个中选候选人；如遇到报价相同的最低价，（考虑到现有合同供应商有押金存放在采购人处）采购人优先选择采购人现有的全部合同供应商；如遇到两个报价最低的采购人现有合同供应商，选择综合质保期较长的合同供应商；以上条件完全相同时，定价小组通过随机摇珠方式决定候选人的中选顺序。</w:t>
      </w:r>
    </w:p>
    <w:p>
      <w:pPr>
        <w:keepNext w:val="0"/>
        <w:keepLines w:val="0"/>
        <w:widowControl/>
        <w:wordWrap w:val="0"/>
        <w:spacing w:line="240" w:lineRule="auto"/>
        <w:ind w:firstLine="640" w:firstLineChars="200"/>
        <w:jc w:val="left"/>
        <w:rPr>
          <w:rFonts w:hint="eastAsia"/>
          <w:highlight w:val="none"/>
          <w:lang w:val="en-US" w:eastAsia="zh-CN"/>
        </w:rPr>
      </w:pPr>
      <w:r>
        <w:rPr>
          <w:rFonts w:hint="eastAsia" w:ascii="宋体" w:hAnsi="宋体" w:eastAsia="宋体" w:cs="宋体"/>
          <w:sz w:val="32"/>
          <w:szCs w:val="32"/>
          <w:highlight w:val="none"/>
          <w:lang w:val="en-US" w:eastAsia="zh-CN"/>
        </w:rPr>
        <w:t>（二）综合质保期。综合质保期＝（小计金额1</w:t>
      </w:r>
      <w:r>
        <w:rPr>
          <w:rFonts w:hint="default" w:ascii="Arial" w:hAnsi="Arial" w:eastAsia="宋体" w:cs="Arial"/>
          <w:sz w:val="32"/>
          <w:szCs w:val="32"/>
          <w:highlight w:val="none"/>
          <w:lang w:val="en-US" w:eastAsia="zh-CN"/>
        </w:rPr>
        <w:t>÷</w:t>
      </w:r>
      <w:r>
        <w:rPr>
          <w:rFonts w:hint="eastAsia" w:ascii="宋体" w:hAnsi="宋体" w:eastAsia="宋体" w:cs="宋体"/>
          <w:sz w:val="32"/>
          <w:szCs w:val="32"/>
          <w:highlight w:val="none"/>
          <w:lang w:val="en-US" w:eastAsia="zh-CN"/>
        </w:rPr>
        <w:t>合计金额）</w:t>
      </w:r>
      <w:r>
        <w:rPr>
          <w:rFonts w:hint="default" w:ascii="Arial" w:hAnsi="Arial" w:eastAsia="宋体" w:cs="Arial"/>
          <w:sz w:val="32"/>
          <w:szCs w:val="32"/>
          <w:highlight w:val="none"/>
          <w:lang w:val="en-US" w:eastAsia="zh-CN"/>
        </w:rPr>
        <w:t>×</w:t>
      </w:r>
      <w:r>
        <w:rPr>
          <w:rFonts w:hint="eastAsia" w:ascii="宋体" w:hAnsi="宋体" w:eastAsia="宋体" w:cs="宋体"/>
          <w:sz w:val="32"/>
          <w:szCs w:val="32"/>
          <w:highlight w:val="none"/>
          <w:lang w:val="en-US" w:eastAsia="zh-CN"/>
        </w:rPr>
        <w:t>质保期1+（小计金额2</w:t>
      </w:r>
      <w:r>
        <w:rPr>
          <w:rFonts w:hint="default" w:ascii="Arial" w:hAnsi="Arial" w:eastAsia="宋体" w:cs="Arial"/>
          <w:sz w:val="32"/>
          <w:szCs w:val="32"/>
          <w:highlight w:val="none"/>
          <w:lang w:val="en-US" w:eastAsia="zh-CN"/>
        </w:rPr>
        <w:t>÷</w:t>
      </w:r>
      <w:r>
        <w:rPr>
          <w:rFonts w:hint="eastAsia" w:ascii="宋体" w:hAnsi="宋体" w:eastAsia="宋体" w:cs="宋体"/>
          <w:sz w:val="32"/>
          <w:szCs w:val="32"/>
          <w:highlight w:val="none"/>
          <w:lang w:val="en-US" w:eastAsia="zh-CN"/>
        </w:rPr>
        <w:t>合计金额）</w:t>
      </w:r>
      <w:r>
        <w:rPr>
          <w:rFonts w:hint="default" w:ascii="Arial" w:hAnsi="Arial" w:eastAsia="宋体" w:cs="Arial"/>
          <w:sz w:val="32"/>
          <w:szCs w:val="32"/>
          <w:highlight w:val="none"/>
          <w:lang w:val="en-US" w:eastAsia="zh-CN"/>
        </w:rPr>
        <w:t>×</w:t>
      </w:r>
      <w:r>
        <w:rPr>
          <w:rFonts w:hint="eastAsia" w:ascii="宋体" w:hAnsi="宋体" w:eastAsia="宋体" w:cs="宋体"/>
          <w:sz w:val="32"/>
          <w:szCs w:val="32"/>
          <w:highlight w:val="none"/>
          <w:lang w:val="en-US" w:eastAsia="zh-CN"/>
        </w:rPr>
        <w:t>质保期2</w:t>
      </w:r>
      <w:r>
        <w:rPr>
          <w:rFonts w:hint="default" w:ascii="Arial" w:hAnsi="Arial" w:eastAsia="宋体" w:cs="Arial"/>
          <w:sz w:val="32"/>
          <w:szCs w:val="32"/>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。如第一中选候选人因故不能履约的，采购人可以确定第二中选候选人为供应商，以此类推。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tbl>
      <w:tblPr>
        <w:tblStyle w:val="15"/>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lang w:val="en-US" w:eastAsia="zh-CN"/>
              </w:rPr>
              <w:t>具备消防器材经营资质，</w:t>
            </w:r>
            <w:r>
              <w:rPr>
                <w:rFonts w:hint="eastAsia" w:ascii="宋体" w:hAnsi="宋体" w:eastAsia="宋体" w:cs="宋体"/>
                <w:bCs/>
                <w:color w:val="000000"/>
                <w:szCs w:val="21"/>
                <w:highlight w:val="none"/>
              </w:rPr>
              <w:t>提供有效的《营业执照》</w:t>
            </w:r>
            <w:r>
              <w:rPr>
                <w:rFonts w:hint="eastAsia" w:ascii="宋体" w:hAnsi="宋体" w:eastAsia="宋体" w:cs="宋体"/>
                <w:bCs/>
                <w:color w:val="000000"/>
                <w:szCs w:val="21"/>
                <w:highlight w:val="none"/>
                <w:lang w:eastAsia="zh-CN"/>
              </w:rPr>
              <w:t>副本</w:t>
            </w:r>
            <w:r>
              <w:rPr>
                <w:rFonts w:hint="eastAsia" w:ascii="宋体" w:hAnsi="宋体" w:eastAsia="宋体" w:cs="宋体"/>
                <w:bCs/>
                <w:color w:val="000000"/>
                <w:szCs w:val="21"/>
                <w:highlight w:val="none"/>
              </w:rPr>
              <w:t>复印件</w:t>
            </w:r>
            <w:r>
              <w:rPr>
                <w:rFonts w:hint="eastAsia" w:ascii="宋体" w:hAnsi="宋体" w:eastAsia="宋体" w:cs="宋体"/>
                <w:bCs/>
                <w:color w:val="000000"/>
                <w:szCs w:val="21"/>
                <w:highlight w:val="none"/>
                <w:lang w:val="en-US" w:eastAsia="zh-CN"/>
              </w:rPr>
              <w:t>并盖章。若营业执照不能显示经营范围，应同时提交在官方网站下载的能表明具备消防器材经营资质的资料并加盖公章。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供应商未被列入“信用中国”网站（www.creditchina.gov.cn）“失信被执行人”。</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承诺非联合体供应商参评。</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《关键需求响应表》全部完全响应，无负偏离。</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符合询价文件要求的其他条件（如装订要求、密封要求等）。</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700" w:type="dxa"/>
            <w:gridSpan w:val="2"/>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700" w:type="dxa"/>
            <w:gridSpan w:val="2"/>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17"/>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5"/>
        <w:tblW w:w="8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供应商A</w:t>
            </w:r>
          </w:p>
        </w:tc>
        <w:tc>
          <w:tcPr>
            <w:tcW w:w="1503"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供应商B</w:t>
            </w:r>
          </w:p>
        </w:tc>
        <w:tc>
          <w:tcPr>
            <w:tcW w:w="1503"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供应商C</w:t>
            </w:r>
          </w:p>
        </w:tc>
        <w:tc>
          <w:tcPr>
            <w:tcW w:w="1503"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r>
        <w:rPr>
          <w:rFonts w:hint="eastAsia" w:ascii="宋体" w:hAnsi="宋体" w:eastAsia="宋体" w:cs="宋体"/>
          <w:bCs/>
          <w:spacing w:val="0"/>
          <w:sz w:val="24"/>
          <w:highlight w:val="none"/>
          <w:lang w:val="en-US" w:eastAsia="zh-CN"/>
        </w:rPr>
        <w:t>：</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r>
        <w:rPr>
          <w:rFonts w:hint="eastAsia" w:ascii="宋体" w:hAnsi="宋体" w:eastAsia="宋体" w:cs="宋体"/>
          <w:bCs/>
          <w:spacing w:val="0"/>
          <w:sz w:val="24"/>
          <w:highlight w:val="none"/>
        </w:rPr>
        <w:t>：</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r>
        <w:rPr>
          <w:rFonts w:hint="eastAsia" w:ascii="宋体" w:hAnsi="宋体" w:eastAsia="宋体" w:cs="宋体"/>
          <w:bCs/>
          <w:spacing w:val="0"/>
          <w:sz w:val="24"/>
          <w:highlight w:val="none"/>
        </w:rPr>
        <w:t>：</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17"/>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5"/>
        <w:tblW w:w="8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供应商A</w:t>
            </w:r>
          </w:p>
        </w:tc>
        <w:tc>
          <w:tcPr>
            <w:tcW w:w="170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供应商B</w:t>
            </w:r>
          </w:p>
        </w:tc>
        <w:tc>
          <w:tcPr>
            <w:tcW w:w="170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供应商C</w:t>
            </w:r>
          </w:p>
        </w:tc>
        <w:tc>
          <w:tcPr>
            <w:tcW w:w="170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17"/>
        <w:rPr>
          <w:rFonts w:hint="eastAsia" w:ascii="宋体" w:hAnsi="宋体" w:eastAsia="宋体" w:cs="宋体"/>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10"/>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10"/>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10"/>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10"/>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val="en-US" w:eastAsia="zh-CN"/>
        </w:rPr>
        <w:t>各车队（车间）购置消防器材</w:t>
      </w:r>
    </w:p>
    <w:p>
      <w:pPr>
        <w:pStyle w:val="10"/>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10"/>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10"/>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（盖章）</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7"/>
        <w:rPr>
          <w:rFonts w:hint="eastAsia"/>
          <w:highlight w:val="none"/>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highlight w:val="none"/>
                              </w:rPr>
                            </w:pPr>
                            <w:r>
                              <w:rPr>
                                <w:rFonts w:hint="eastAsia" w:hAnsi="宋体"/>
                                <w:szCs w:val="21"/>
                              </w:rPr>
                              <w:t>法定代表人身份证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1CAaU1gAAAAgBAAAPAAAAAAAAAAEAIAAAACIA&#10;AABkcnMvZG93bnJldi54bWxQSwECFAAUAAAACACHTuJAHcuJD0QCAABhBAAADgAAAAAAAAABACAA&#10;AAAl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highlight w:val="none"/>
                        </w:rPr>
                      </w:pPr>
                      <w:r>
                        <w:rPr>
                          <w:rFonts w:hint="eastAsia" w:hAnsi="宋体"/>
                          <w:szCs w:val="21"/>
                        </w:rPr>
                        <w:t>法定代表人身份证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（参评人不是法定代表人</w:t>
      </w:r>
      <w:r>
        <w:rPr>
          <w:rFonts w:hint="eastAsia" w:ascii="宋体" w:hAnsi="宋体" w:eastAsia="宋体" w:cs="宋体"/>
          <w:bCs/>
          <w:sz w:val="24"/>
          <w:highlight w:val="none"/>
          <w:lang w:val="en-US" w:eastAsia="zh-CN"/>
        </w:rPr>
        <w:t>/负责人时</w:t>
      </w:r>
      <w:r>
        <w:rPr>
          <w:rFonts w:hint="eastAsia" w:ascii="宋体" w:hAnsi="宋体" w:eastAsia="宋体" w:cs="宋体"/>
          <w:bCs/>
          <w:sz w:val="24"/>
          <w:highlight w:val="none"/>
          <w:lang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各车队（车间）购置消防器材项目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17"/>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IXRqnWAAAACAEAAA8AAAAAAAAAAQAgAAAAIgAA&#10;AGRycy9kb3ducmV2LnhtbFBLAQIUABQAAAAIAIdO4kCMmkMfQwIAAGEEAAAOAAAAAAAAAAEAIAAA&#10;ACUBAABkcnMvZTJvRG9jLnhtbFBLBQYAAAAABgAGAFkBAADa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格式2 营业执照复印件（加盖公章）</w:t>
      </w:r>
    </w:p>
    <w:p>
      <w:pPr>
        <w:rPr>
          <w:rFonts w:hint="eastAsia" w:ascii="宋体" w:hAnsi="宋体" w:eastAsia="宋体" w:cs="宋体"/>
          <w:b w:val="0"/>
          <w:bCs w:val="0"/>
          <w:sz w:val="24"/>
          <w:highlight w:val="none"/>
          <w:lang w:val="en-US" w:eastAsia="zh-CN"/>
        </w:rPr>
      </w:pPr>
    </w:p>
    <w:p>
      <w:pPr>
        <w:ind w:firstLine="240" w:firstLineChars="1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（如营业执照复印件没有显示参评人具备消防器材经营资质的相关内容，须在</w:t>
      </w:r>
      <w:r>
        <w:rPr>
          <w:rFonts w:hint="eastAsia" w:ascii="宋体" w:hAnsi="宋体" w:eastAsia="宋体" w:cs="宋体"/>
          <w:b/>
          <w:bCs/>
          <w:sz w:val="24"/>
          <w:highlight w:val="none"/>
          <w:lang w:val="en-US" w:eastAsia="zh-CN"/>
        </w:rPr>
        <w:t>官方网站</w:t>
      </w:r>
      <w:r>
        <w:rPr>
          <w:rFonts w:hint="eastAsia" w:ascii="宋体" w:hAnsi="宋体" w:eastAsia="宋体" w:cs="宋体"/>
          <w:b w:val="0"/>
          <w:bCs w:val="0"/>
          <w:sz w:val="24"/>
          <w:highlight w:val="none"/>
          <w:lang w:val="en-US" w:eastAsia="zh-CN"/>
        </w:rPr>
        <w:t>下载相关内容作为营业执照复印件的附件，并加盖公章）</w:t>
      </w:r>
    </w:p>
    <w:p>
      <w:pPr>
        <w:pStyle w:val="17"/>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pStyle w:val="17"/>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“信用中国”网站“失信被执行人”查询结果（加盖公章）</w:t>
      </w:r>
    </w:p>
    <w:p>
      <w:pPr>
        <w:pStyle w:val="17"/>
        <w:jc w:val="left"/>
        <w:rPr>
          <w:rFonts w:hint="eastAsia" w:ascii="宋体" w:hAnsi="宋体" w:eastAsia="宋体" w:cs="宋体"/>
          <w:b w:val="0"/>
          <w:bCs w:val="0"/>
          <w:sz w:val="24"/>
          <w:szCs w:val="24"/>
          <w:highlight w:val="none"/>
          <w:lang w:val="en-US" w:eastAsia="zh-CN"/>
        </w:rPr>
      </w:pPr>
    </w:p>
    <w:p>
      <w:pPr>
        <w:pStyle w:val="17"/>
        <w:jc w:val="left"/>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（未被列入“信用中国”网站(www.creditchina.gov.cn)“失信被执行人”如相关失信记录已失效，供应商需提供相关证明资料）</w:t>
      </w:r>
    </w:p>
    <w:p>
      <w:pPr>
        <w:pStyle w:val="17"/>
        <w:rPr>
          <w:rFonts w:hint="eastAsia" w:ascii="宋体" w:hAnsi="宋体" w:eastAsia="宋体" w:cs="宋体"/>
          <w:b/>
          <w:bCs/>
          <w:sz w:val="24"/>
          <w:highlight w:val="none"/>
          <w:lang w:val="en-US" w:eastAsia="zh-CN"/>
        </w:rPr>
      </w:pPr>
    </w:p>
    <w:p>
      <w:pPr>
        <w:pStyle w:val="17"/>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br w:type="page"/>
      </w:r>
      <w:r>
        <w:rPr>
          <w:rFonts w:hint="eastAsia" w:ascii="宋体" w:hAnsi="宋体" w:eastAsia="宋体" w:cs="宋体"/>
          <w:b/>
          <w:bCs/>
          <w:sz w:val="24"/>
          <w:highlight w:val="none"/>
          <w:lang w:val="en-US" w:eastAsia="zh-CN"/>
        </w:rPr>
        <w:t xml:space="preserve">格式4 </w:t>
      </w:r>
      <w:r>
        <w:rPr>
          <w:rFonts w:hint="eastAsia" w:ascii="宋体" w:hAnsi="宋体" w:eastAsia="宋体" w:cs="宋体"/>
          <w:b/>
          <w:bCs/>
          <w:sz w:val="24"/>
          <w:highlight w:val="none"/>
        </w:rPr>
        <w:t>报价表</w:t>
      </w: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各车队（车间）购置消防器材项目</w:t>
      </w:r>
    </w:p>
    <w:tbl>
      <w:tblPr>
        <w:tblStyle w:val="15"/>
        <w:tblW w:w="9471" w:type="dxa"/>
        <w:jc w:val="center"/>
        <w:tblInd w:w="0" w:type="dxa"/>
        <w:tblLayout w:type="fixed"/>
        <w:tblCellMar>
          <w:top w:w="0" w:type="dxa"/>
          <w:left w:w="0" w:type="dxa"/>
          <w:bottom w:w="0" w:type="dxa"/>
          <w:right w:w="0" w:type="dxa"/>
        </w:tblCellMar>
      </w:tblPr>
      <w:tblGrid>
        <w:gridCol w:w="1706"/>
        <w:gridCol w:w="840"/>
        <w:gridCol w:w="885"/>
        <w:gridCol w:w="855"/>
        <w:gridCol w:w="1238"/>
        <w:gridCol w:w="952"/>
        <w:gridCol w:w="1245"/>
        <w:gridCol w:w="1750"/>
      </w:tblGrid>
      <w:tr>
        <w:tblPrEx>
          <w:tblLayout w:type="fixed"/>
          <w:tblCellMar>
            <w:top w:w="0" w:type="dxa"/>
            <w:left w:w="0" w:type="dxa"/>
            <w:bottom w:w="0" w:type="dxa"/>
            <w:right w:w="0" w:type="dxa"/>
          </w:tblCellMar>
        </w:tblPrEx>
        <w:trPr>
          <w:trHeight w:val="560"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货物名称</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规格</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品牌名称</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质保期（月）</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供货</w:t>
            </w:r>
            <w:r>
              <w:rPr>
                <w:rFonts w:hint="eastAsia" w:ascii="宋体" w:hAnsi="宋体" w:eastAsia="宋体" w:cs="宋体"/>
                <w:b/>
                <w:bCs/>
                <w:color w:val="auto"/>
                <w:sz w:val="21"/>
                <w:szCs w:val="21"/>
                <w:highlight w:val="none"/>
              </w:rPr>
              <w:t>单价（元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rPr>
              <w:t>）</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小计金额（元，含税）</w:t>
            </w: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干粉ABC灭火器</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1375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4Kg</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手推灭火器</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35Kg</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手推灭火器套</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35Kg</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消防水带</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25米</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消防水带枪头</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DN65</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1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消防板手</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772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     计</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Layout w:type="fixed"/>
          <w:tblCellMar>
            <w:top w:w="0" w:type="dxa"/>
            <w:left w:w="0" w:type="dxa"/>
            <w:bottom w:w="0" w:type="dxa"/>
            <w:right w:w="0" w:type="dxa"/>
          </w:tblCellMar>
        </w:tblPrEx>
        <w:trPr>
          <w:trHeight w:val="475" w:hRule="atLeast"/>
          <w:jc w:val="center"/>
        </w:trPr>
        <w:tc>
          <w:tcPr>
            <w:tcW w:w="34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合计金额（大写）</w:t>
            </w:r>
          </w:p>
        </w:tc>
        <w:tc>
          <w:tcPr>
            <w:tcW w:w="604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万    仟    佰    拾     元     角     分</w:t>
            </w: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注：</w:t>
      </w:r>
    </w:p>
    <w:p>
      <w:pPr>
        <w:rPr>
          <w:rFonts w:hint="eastAsia"/>
          <w:sz w:val="24"/>
          <w:szCs w:val="24"/>
          <w:highlight w:val="none"/>
          <w:lang w:val="en-US" w:eastAsia="zh-CN"/>
        </w:rPr>
      </w:pPr>
      <w:r>
        <w:rPr>
          <w:rFonts w:hint="eastAsia"/>
          <w:sz w:val="24"/>
          <w:szCs w:val="24"/>
          <w:highlight w:val="none"/>
          <w:lang w:val="en-US" w:eastAsia="zh-CN"/>
        </w:rPr>
        <w:t>1、参评报价的主要产品（如灭火器）在中国消防产品信息网（http://www.cccf.com.cn/）上进行过备案的产品，且相关产品证书在有效期内；</w:t>
      </w:r>
    </w:p>
    <w:p>
      <w:pPr>
        <w:rPr>
          <w:rFonts w:hint="eastAsia"/>
          <w:sz w:val="24"/>
          <w:szCs w:val="24"/>
          <w:highlight w:val="none"/>
          <w:lang w:val="en-US" w:eastAsia="zh-CN"/>
        </w:rPr>
      </w:pPr>
      <w:r>
        <w:rPr>
          <w:rFonts w:hint="eastAsia"/>
          <w:sz w:val="24"/>
          <w:szCs w:val="24"/>
          <w:highlight w:val="none"/>
          <w:lang w:val="en-US" w:eastAsia="zh-CN"/>
        </w:rPr>
        <w:t>2、属强制认证的产品必须有CCC认证标志。</w:t>
      </w:r>
    </w:p>
    <w:p>
      <w:pPr>
        <w:rPr>
          <w:rFonts w:hint="eastAsia"/>
          <w:sz w:val="24"/>
          <w:szCs w:val="24"/>
          <w:highlight w:val="none"/>
          <w:lang w:val="en-US" w:eastAsia="zh-CN"/>
        </w:rPr>
      </w:pPr>
      <w:r>
        <w:rPr>
          <w:rFonts w:hint="eastAsia"/>
          <w:sz w:val="24"/>
          <w:szCs w:val="24"/>
          <w:highlight w:val="none"/>
          <w:lang w:val="en-US" w:eastAsia="zh-CN"/>
        </w:rPr>
        <w:t>3、报价含专用增值税和运输送货费用。</w:t>
      </w:r>
    </w:p>
    <w:p>
      <w:pPr>
        <w:rPr>
          <w:rFonts w:hint="eastAsia"/>
          <w:sz w:val="24"/>
          <w:szCs w:val="24"/>
          <w:highlight w:val="none"/>
          <w:lang w:val="en-US" w:eastAsia="zh-CN"/>
        </w:rPr>
      </w:pPr>
      <w:r>
        <w:rPr>
          <w:rFonts w:hint="eastAsia"/>
          <w:sz w:val="24"/>
          <w:szCs w:val="24"/>
          <w:highlight w:val="none"/>
          <w:lang w:val="en-US" w:eastAsia="zh-CN"/>
        </w:rPr>
        <w:t>4、</w:t>
      </w:r>
      <w:r>
        <w:rPr>
          <w:rFonts w:hint="eastAsia"/>
          <w:b/>
          <w:bCs/>
          <w:sz w:val="24"/>
          <w:szCs w:val="24"/>
          <w:highlight w:val="none"/>
          <w:lang w:val="en-US" w:eastAsia="zh-CN"/>
        </w:rPr>
        <w:t>质保期不少于12个月</w:t>
      </w:r>
      <w:r>
        <w:rPr>
          <w:rFonts w:hint="eastAsia"/>
          <w:sz w:val="24"/>
          <w:szCs w:val="24"/>
          <w:highlight w:val="none"/>
          <w:lang w:val="en-US" w:eastAsia="zh-CN"/>
        </w:rPr>
        <w:t>。质保期作为评选的依据之一。</w:t>
      </w:r>
    </w:p>
    <w:p>
      <w:pPr>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、参</w:t>
      </w:r>
      <w:r>
        <w:rPr>
          <w:rFonts w:hint="eastAsia"/>
          <w:sz w:val="24"/>
          <w:szCs w:val="24"/>
          <w:highlight w:val="none"/>
          <w:lang w:val="en-US" w:eastAsia="zh-CN"/>
        </w:rPr>
        <w:t>评响应</w:t>
      </w:r>
      <w:r>
        <w:rPr>
          <w:rFonts w:hint="eastAsia"/>
          <w:sz w:val="24"/>
          <w:szCs w:val="24"/>
          <w:highlight w:val="none"/>
        </w:rPr>
        <w:t>文件中的大写金额和小写金额不一致的，</w:t>
      </w:r>
      <w:r>
        <w:rPr>
          <w:rFonts w:hint="eastAsia"/>
          <w:sz w:val="24"/>
          <w:szCs w:val="24"/>
          <w:highlight w:val="none"/>
          <w:lang w:val="en-US" w:eastAsia="zh-CN"/>
        </w:rPr>
        <w:t>报价单无效</w:t>
      </w:r>
      <w:r>
        <w:rPr>
          <w:rFonts w:hint="eastAsia"/>
          <w:sz w:val="24"/>
          <w:szCs w:val="24"/>
          <w:highlight w:val="none"/>
        </w:rPr>
        <w:t>。</w:t>
      </w:r>
    </w:p>
    <w:p>
      <w:pPr>
        <w:rPr>
          <w:rFonts w:hint="eastAsia"/>
          <w:sz w:val="24"/>
          <w:szCs w:val="24"/>
          <w:highlight w:val="none"/>
        </w:rPr>
      </w:pPr>
      <w:r>
        <w:rPr>
          <w:rFonts w:hint="eastAsia"/>
          <w:sz w:val="24"/>
          <w:szCs w:val="24"/>
          <w:highlight w:val="none"/>
          <w:lang w:val="en-US" w:eastAsia="zh-CN"/>
        </w:rPr>
        <w:t>6、本报价表价格自响应</w:t>
      </w:r>
      <w:r>
        <w:rPr>
          <w:rFonts w:hint="eastAsia"/>
          <w:sz w:val="24"/>
          <w:szCs w:val="24"/>
          <w:highlight w:val="none"/>
        </w:rPr>
        <w:t>截止</w:t>
      </w:r>
      <w:r>
        <w:rPr>
          <w:rFonts w:hint="eastAsia"/>
          <w:sz w:val="24"/>
          <w:szCs w:val="24"/>
          <w:highlight w:val="none"/>
          <w:lang w:val="en-US" w:eastAsia="zh-CN"/>
        </w:rPr>
        <w:t>之</w:t>
      </w:r>
      <w:r>
        <w:rPr>
          <w:rFonts w:hint="eastAsia"/>
          <w:sz w:val="24"/>
          <w:szCs w:val="24"/>
          <w:highlight w:val="none"/>
        </w:rPr>
        <w:t>日后</w:t>
      </w:r>
      <w:r>
        <w:rPr>
          <w:rFonts w:hint="eastAsia"/>
          <w:sz w:val="24"/>
          <w:szCs w:val="24"/>
          <w:highlight w:val="none"/>
          <w:lang w:val="en-US" w:eastAsia="zh-CN"/>
        </w:rPr>
        <w:t>90</w:t>
      </w:r>
      <w:r>
        <w:rPr>
          <w:rFonts w:hint="eastAsia"/>
          <w:sz w:val="24"/>
          <w:szCs w:val="24"/>
          <w:highlight w:val="none"/>
        </w:rPr>
        <w:t>天内有效。</w:t>
      </w:r>
    </w:p>
    <w:p>
      <w:pPr>
        <w:pStyle w:val="2"/>
        <w:rPr>
          <w:rFonts w:hint="eastAsia"/>
          <w:highlight w:val="none"/>
        </w:rPr>
      </w:pPr>
    </w:p>
    <w:p>
      <w:pPr>
        <w:rPr>
          <w:rFonts w:hint="eastAsia"/>
          <w:highlight w:val="none"/>
          <w:lang w:val="en-US" w:eastAsia="zh-CN"/>
        </w:rPr>
      </w:pPr>
    </w:p>
    <w:p>
      <w:pPr>
        <w:rPr>
          <w:rFonts w:hint="eastAsia"/>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pStyle w:val="18"/>
        <w:numPr>
          <w:ilvl w:val="-1"/>
          <w:numId w:val="0"/>
        </w:numPr>
        <w:spacing w:before="0" w:after="0" w:line="360" w:lineRule="auto"/>
        <w:ind w:firstLine="0"/>
        <w:jc w:val="both"/>
        <w:outlineLvl w:val="1"/>
        <w:rPr>
          <w:rFonts w:hint="eastAsia" w:ascii="宋体" w:hAnsi="宋体" w:eastAsia="宋体" w:cs="宋体"/>
          <w:b/>
          <w:bCs/>
          <w:spacing w:val="0"/>
          <w:sz w:val="24"/>
          <w:highlight w:val="none"/>
          <w:lang w:val="en-US" w:eastAsia="zh-CN"/>
        </w:rPr>
      </w:pPr>
    </w:p>
    <w:p>
      <w:pPr>
        <w:pStyle w:val="18"/>
        <w:numPr>
          <w:ilvl w:val="-1"/>
          <w:numId w:val="0"/>
        </w:numPr>
        <w:spacing w:before="0" w:after="0" w:line="360" w:lineRule="auto"/>
        <w:ind w:firstLine="0"/>
        <w:jc w:val="both"/>
        <w:outlineLvl w:val="1"/>
        <w:rPr>
          <w:rFonts w:hint="eastAsia" w:ascii="宋体" w:hAnsi="宋体" w:eastAsia="宋体" w:cs="宋体"/>
          <w:b/>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参评供应商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lang w:val="en-US" w:eastAsia="zh-CN"/>
        </w:rPr>
        <w:t>各车队（车间）购置消防器材项目</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愿意按照贵方询价文件中的一切要求，提供相关服务。</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我方已详细研究询价文件的所有内容，包括修改文件(如有)和所有已收到的参考资料以及有关附件(如有)，并完全明白。我方放弃在此方面提出不明或误解的一切权利。</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我方同意按照贵方可能提出的要求而提供与参评有关的任何其它资料、数据或信息，并对资料的真实性负责，如承诺不实，我公司愿意承担相应责任。</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我方如果中选，将按照贵方询价文件及其修改文件（如有）的要求及我方参评承诺，按质、按量、按期履行全部协议书责任和义务。</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我方保证本次招标采购活动，具备独立实施能力，属于非联合体投标参评，如若中选本项目，绝不分包、转包。如承诺不实，我公司愿意承担相应责任。</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参评文件有效期：响应截止之日后90天内有效。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keepNext w:val="0"/>
        <w:keepLines w:val="0"/>
        <w:pageBreakBefore w:val="0"/>
        <w:tabs>
          <w:tab w:val="left" w:pos="900"/>
        </w:tabs>
        <w:kinsoku/>
        <w:wordWrap w:val="0"/>
        <w:overflowPunct/>
        <w:topLinePunct w:val="0"/>
        <w:bidi w:val="0"/>
        <w:spacing w:line="560" w:lineRule="exact"/>
        <w:ind w:firstLine="3360" w:firstLineChars="1400"/>
        <w:jc w:val="both"/>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18"/>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highlight w:val="none"/>
          <w:lang w:val="en-US" w:eastAsia="zh-CN"/>
        </w:rPr>
        <w:t xml:space="preserve">格式6  </w:t>
      </w:r>
      <w:r>
        <w:rPr>
          <w:rFonts w:hint="eastAsia" w:ascii="宋体" w:hAnsi="宋体" w:eastAsia="宋体" w:cs="宋体"/>
          <w:b/>
          <w:bCs/>
          <w:spacing w:val="0"/>
          <w:sz w:val="24"/>
          <w:szCs w:val="24"/>
          <w:highlight w:val="none"/>
          <w:lang w:eastAsia="zh-CN"/>
        </w:rPr>
        <w:t>关键需求响应表</w:t>
      </w:r>
    </w:p>
    <w:p>
      <w:pPr>
        <w:pStyle w:val="18"/>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p>
    <w:p>
      <w:pPr>
        <w:pStyle w:val="18"/>
        <w:numPr>
          <w:ilvl w:val="-1"/>
          <w:numId w:val="0"/>
        </w:numPr>
        <w:spacing w:before="0" w:after="0" w:line="360" w:lineRule="auto"/>
        <w:ind w:firstLine="0"/>
        <w:jc w:val="center"/>
        <w:outlineLvl w:val="1"/>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30"/>
          <w:szCs w:val="30"/>
          <w:highlight w:val="none"/>
          <w:lang w:eastAsia="zh-CN"/>
        </w:rPr>
        <w:t>关键需求响应表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90"/>
        <w:gridCol w:w="196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序号</w:t>
            </w:r>
          </w:p>
        </w:tc>
        <w:tc>
          <w:tcPr>
            <w:tcW w:w="3990"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评审文件条款</w:t>
            </w:r>
          </w:p>
        </w:tc>
        <w:tc>
          <w:tcPr>
            <w:tcW w:w="1965"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是否响应（完全响应</w:t>
            </w:r>
            <w:r>
              <w:rPr>
                <w:rFonts w:hint="eastAsia" w:ascii="宋体" w:hAnsi="宋体" w:eastAsia="宋体" w:cs="宋体"/>
                <w:b/>
                <w:bCs/>
                <w:spacing w:val="0"/>
                <w:sz w:val="24"/>
                <w:szCs w:val="24"/>
                <w:highlight w:val="none"/>
                <w:vertAlign w:val="baseline"/>
                <w:lang w:val="en-US" w:eastAsia="zh-CN"/>
              </w:rPr>
              <w:t>/部分响应/不响应</w:t>
            </w:r>
            <w:r>
              <w:rPr>
                <w:rFonts w:hint="eastAsia" w:ascii="宋体" w:hAnsi="宋体" w:eastAsia="宋体" w:cs="宋体"/>
                <w:b/>
                <w:bCs/>
                <w:spacing w:val="0"/>
                <w:sz w:val="24"/>
                <w:szCs w:val="24"/>
                <w:highlight w:val="none"/>
                <w:vertAlign w:val="baseline"/>
                <w:lang w:eastAsia="zh-CN"/>
              </w:rPr>
              <w:t>）</w:t>
            </w:r>
          </w:p>
        </w:tc>
        <w:tc>
          <w:tcPr>
            <w:tcW w:w="1831"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w:t>
            </w:r>
          </w:p>
        </w:tc>
        <w:tc>
          <w:tcPr>
            <w:tcW w:w="3990"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kern w:val="2"/>
                <w:sz w:val="24"/>
                <w:szCs w:val="24"/>
                <w:highlight w:val="none"/>
                <w:lang w:val="en-US" w:eastAsia="zh-CN" w:bidi="ar-SA"/>
              </w:rPr>
              <w:t>参与报价的主要消防产品（如灭火器）应该在中国消防产品信息网（http://www.cccf.com.cn/）上进行过备案的产品，且相关产品证书在有效期内。</w:t>
            </w:r>
          </w:p>
        </w:tc>
        <w:tc>
          <w:tcPr>
            <w:tcW w:w="1965"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2</w:t>
            </w:r>
          </w:p>
        </w:tc>
        <w:tc>
          <w:tcPr>
            <w:tcW w:w="3990"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kern w:val="2"/>
                <w:sz w:val="24"/>
                <w:szCs w:val="24"/>
                <w:highlight w:val="none"/>
                <w:lang w:val="en-US" w:eastAsia="zh-CN" w:bidi="ar-SA"/>
              </w:rPr>
              <w:t>参与报价的主要消防产品（如灭火器）属强制认证的产品必须有CCC认证标志。</w:t>
            </w:r>
          </w:p>
        </w:tc>
        <w:tc>
          <w:tcPr>
            <w:tcW w:w="1965"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3</w:t>
            </w:r>
          </w:p>
        </w:tc>
        <w:tc>
          <w:tcPr>
            <w:tcW w:w="3990" w:type="dxa"/>
          </w:tcPr>
          <w:p>
            <w:pPr>
              <w:pStyle w:val="18"/>
              <w:numPr>
                <w:ilvl w:val="-1"/>
                <w:numId w:val="0"/>
              </w:numPr>
              <w:spacing w:before="0" w:after="0" w:line="360" w:lineRule="auto"/>
              <w:jc w:val="both"/>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参评供应商中选后，提供以上备案、认证资料备查。</w:t>
            </w:r>
          </w:p>
        </w:tc>
        <w:tc>
          <w:tcPr>
            <w:tcW w:w="1965"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4</w:t>
            </w:r>
          </w:p>
        </w:tc>
        <w:tc>
          <w:tcPr>
            <w:tcW w:w="3990"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sz w:val="24"/>
                <w:szCs w:val="24"/>
                <w:highlight w:val="none"/>
                <w:lang w:val="en-US" w:eastAsia="zh-CN"/>
              </w:rPr>
              <w:t>中选人在收到中选通知之日起5个工作日按采购人的要求将货物送达采购人在中山市内的指定站点。</w:t>
            </w:r>
          </w:p>
        </w:tc>
        <w:tc>
          <w:tcPr>
            <w:tcW w:w="1965"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pStyle w:val="18"/>
              <w:numPr>
                <w:ilvl w:val="-1"/>
                <w:numId w:val="0"/>
              </w:numPr>
              <w:spacing w:before="0" w:after="0" w:line="36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5</w:t>
            </w:r>
          </w:p>
        </w:tc>
        <w:tc>
          <w:tcPr>
            <w:tcW w:w="3990"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sz w:val="24"/>
                <w:szCs w:val="24"/>
                <w:highlight w:val="none"/>
                <w:lang w:val="en-US" w:eastAsia="zh-CN"/>
              </w:rPr>
              <w:t>中选人送达的货物并领用出库后，从出库月份的下个月开始的6个月内付款。</w:t>
            </w:r>
          </w:p>
        </w:tc>
        <w:tc>
          <w:tcPr>
            <w:tcW w:w="1965"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8"/>
              <w:numPr>
                <w:ilvl w:val="-1"/>
                <w:numId w:val="0"/>
              </w:numPr>
              <w:spacing w:before="0" w:after="0" w:line="360" w:lineRule="auto"/>
              <w:jc w:val="both"/>
              <w:outlineLvl w:val="1"/>
              <w:rPr>
                <w:rFonts w:hint="eastAsia" w:ascii="宋体" w:hAnsi="宋体" w:eastAsia="宋体" w:cs="宋体"/>
                <w:b/>
                <w:bCs/>
                <w:spacing w:val="0"/>
                <w:sz w:val="24"/>
                <w:szCs w:val="24"/>
                <w:highlight w:val="none"/>
                <w:vertAlign w:val="baseline"/>
                <w:lang w:eastAsia="zh-CN"/>
              </w:rPr>
            </w:pPr>
          </w:p>
        </w:tc>
      </w:tr>
    </w:tbl>
    <w:p>
      <w:pPr>
        <w:pStyle w:val="18"/>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br w:type="page"/>
      </w:r>
    </w:p>
    <w:p>
      <w:pPr>
        <w:pStyle w:val="18"/>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highlight w:val="none"/>
          <w:lang w:val="en-US" w:eastAsia="zh-CN"/>
        </w:rPr>
        <w:t xml:space="preserve">格式7 </w:t>
      </w:r>
      <w:r>
        <w:rPr>
          <w:rFonts w:hint="eastAsia" w:ascii="宋体" w:hAnsi="宋体" w:eastAsia="宋体" w:cs="宋体"/>
          <w:b/>
          <w:bCs/>
          <w:spacing w:val="0"/>
          <w:sz w:val="24"/>
          <w:szCs w:val="24"/>
          <w:highlight w:val="none"/>
          <w:lang w:eastAsia="zh-CN"/>
        </w:rPr>
        <w:t>参评人信息</w:t>
      </w: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t>法定代表人或委托代理人：</w:t>
      </w:r>
    </w:p>
    <w:p>
      <w:pPr>
        <w:rPr>
          <w:rFonts w:hint="eastAsia" w:ascii="宋体" w:hAnsi="宋体"/>
          <w:color w:val="auto"/>
          <w:szCs w:val="21"/>
          <w:highlight w:val="none"/>
        </w:rPr>
      </w:pPr>
      <w:r>
        <w:rPr>
          <w:rFonts w:hint="eastAsia" w:ascii="宋体" w:hAnsi="宋体"/>
          <w:color w:val="auto"/>
          <w:szCs w:val="21"/>
          <w:highlight w:val="none"/>
        </w:rPr>
        <w:t xml:space="preserve">电话：                                 </w:t>
      </w:r>
    </w:p>
    <w:p>
      <w:pPr>
        <w:rPr>
          <w:rFonts w:hint="eastAsia" w:ascii="宋体" w:hAnsi="宋体"/>
          <w:color w:val="auto"/>
          <w:szCs w:val="21"/>
          <w:highlight w:val="none"/>
        </w:rPr>
      </w:pPr>
      <w:r>
        <w:rPr>
          <w:rFonts w:hint="eastAsia" w:ascii="宋体" w:hAnsi="宋体"/>
          <w:color w:val="auto"/>
          <w:szCs w:val="21"/>
          <w:highlight w:val="none"/>
        </w:rPr>
        <w:t xml:space="preserve">地址：                                     </w:t>
      </w:r>
    </w:p>
    <w:p>
      <w:pPr>
        <w:rPr>
          <w:rFonts w:hint="eastAsia" w:ascii="宋体" w:hAnsi="宋体"/>
          <w:color w:val="auto"/>
          <w:szCs w:val="21"/>
          <w:highlight w:val="none"/>
        </w:rPr>
      </w:pPr>
      <w:r>
        <w:rPr>
          <w:rFonts w:hint="eastAsia" w:ascii="宋体" w:hAnsi="宋体"/>
          <w:color w:val="auto"/>
          <w:szCs w:val="21"/>
          <w:highlight w:val="none"/>
        </w:rPr>
        <w:t xml:space="preserve">邮政编码：                                 </w:t>
      </w:r>
    </w:p>
    <w:p>
      <w:pPr>
        <w:rPr>
          <w:rFonts w:hint="eastAsia" w:ascii="宋体" w:hAnsi="宋体"/>
          <w:color w:val="auto"/>
          <w:szCs w:val="21"/>
          <w:highlight w:val="none"/>
        </w:rPr>
      </w:pPr>
      <w:r>
        <w:rPr>
          <w:rFonts w:hint="eastAsia" w:ascii="宋体" w:hAnsi="宋体"/>
          <w:color w:val="auto"/>
          <w:szCs w:val="21"/>
          <w:highlight w:val="none"/>
        </w:rPr>
        <w:t xml:space="preserve">开户银行：                                 </w:t>
      </w:r>
    </w:p>
    <w:p>
      <w:pPr>
        <w:rPr>
          <w:rFonts w:hint="eastAsia" w:ascii="宋体" w:hAnsi="宋体"/>
          <w:color w:val="auto"/>
          <w:szCs w:val="21"/>
          <w:highlight w:val="none"/>
        </w:rPr>
      </w:pPr>
      <w:r>
        <w:rPr>
          <w:rFonts w:hint="eastAsia" w:ascii="宋体" w:hAnsi="宋体"/>
          <w:color w:val="auto"/>
          <w:szCs w:val="21"/>
          <w:highlight w:val="none"/>
        </w:rPr>
        <w:t>帐号：</w:t>
      </w:r>
    </w:p>
    <w:p>
      <w:pPr>
        <w:pStyle w:val="2"/>
        <w:rPr>
          <w:rFonts w:hint="eastAsia" w:ascii="宋体" w:hAnsi="宋体"/>
          <w:color w:val="auto"/>
          <w:szCs w:val="21"/>
          <w:highlight w:val="none"/>
        </w:rPr>
      </w:pP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ind w:firstLine="4800" w:firstLineChars="2000"/>
        <w:rPr>
          <w:rFonts w:hint="eastAsia" w:ascii="宋体" w:hAnsi="宋体" w:eastAsia="宋体" w:cs="宋体"/>
          <w:bCs/>
          <w:sz w:val="24"/>
          <w:szCs w:val="24"/>
          <w:highlight w:val="none"/>
        </w:rPr>
      </w:pPr>
    </w:p>
    <w:p>
      <w:pPr>
        <w:ind w:firstLine="4800" w:firstLineChars="2000"/>
        <w:rPr>
          <w:rFonts w:hint="default"/>
          <w:highlight w:val="none"/>
          <w:lang w:val="en-US" w:eastAsia="zh-CN"/>
        </w:rPr>
      </w:pPr>
      <w:r>
        <w:rPr>
          <w:rFonts w:hint="eastAsia" w:ascii="宋体" w:hAnsi="宋体" w:eastAsia="宋体" w:cs="宋体"/>
          <w:bCs/>
          <w:sz w:val="24"/>
          <w:szCs w:val="24"/>
          <w:highlight w:val="none"/>
        </w:rPr>
        <w:t>日期：</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870B9"/>
    <w:multiLevelType w:val="singleLevel"/>
    <w:tmpl w:val="BAD870B9"/>
    <w:lvl w:ilvl="0" w:tentative="0">
      <w:start w:val="1"/>
      <w:numFmt w:val="decimal"/>
      <w:lvlText w:val="%1."/>
      <w:lvlJc w:val="left"/>
      <w:pPr>
        <w:ind w:left="425" w:hanging="425"/>
      </w:pPr>
      <w:rPr>
        <w:rFonts w:hint="default"/>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43DEA1AD"/>
    <w:multiLevelType w:val="singleLevel"/>
    <w:tmpl w:val="43DEA1AD"/>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5D525A21"/>
    <w:rsid w:val="014407F1"/>
    <w:rsid w:val="01A423B6"/>
    <w:rsid w:val="04693A89"/>
    <w:rsid w:val="04D075C9"/>
    <w:rsid w:val="05542299"/>
    <w:rsid w:val="05694370"/>
    <w:rsid w:val="058A6DD6"/>
    <w:rsid w:val="0677426D"/>
    <w:rsid w:val="0700066A"/>
    <w:rsid w:val="07374994"/>
    <w:rsid w:val="079E79DA"/>
    <w:rsid w:val="07AF597E"/>
    <w:rsid w:val="08BD79B3"/>
    <w:rsid w:val="095A5B83"/>
    <w:rsid w:val="09EA33AB"/>
    <w:rsid w:val="0B220183"/>
    <w:rsid w:val="0B7C44D7"/>
    <w:rsid w:val="0B877B07"/>
    <w:rsid w:val="0BB00F40"/>
    <w:rsid w:val="0BC21D4C"/>
    <w:rsid w:val="0D5E30A2"/>
    <w:rsid w:val="0E1D740C"/>
    <w:rsid w:val="0F107129"/>
    <w:rsid w:val="10260EB5"/>
    <w:rsid w:val="10596B94"/>
    <w:rsid w:val="11832B5F"/>
    <w:rsid w:val="129B1721"/>
    <w:rsid w:val="14116A17"/>
    <w:rsid w:val="14BE5F4B"/>
    <w:rsid w:val="168B6CB5"/>
    <w:rsid w:val="17774D5B"/>
    <w:rsid w:val="17FB25B2"/>
    <w:rsid w:val="1979636D"/>
    <w:rsid w:val="1AF55A74"/>
    <w:rsid w:val="1B7B6BC1"/>
    <w:rsid w:val="1BA65844"/>
    <w:rsid w:val="1BBE7142"/>
    <w:rsid w:val="1BC872C4"/>
    <w:rsid w:val="1BF27683"/>
    <w:rsid w:val="1CB7455A"/>
    <w:rsid w:val="1E056428"/>
    <w:rsid w:val="1FBA7F7D"/>
    <w:rsid w:val="1FF9227D"/>
    <w:rsid w:val="20EC620F"/>
    <w:rsid w:val="214451D9"/>
    <w:rsid w:val="220C3CA1"/>
    <w:rsid w:val="22682BE6"/>
    <w:rsid w:val="22704900"/>
    <w:rsid w:val="230C7CAB"/>
    <w:rsid w:val="23A77369"/>
    <w:rsid w:val="24D02E0A"/>
    <w:rsid w:val="25382FC7"/>
    <w:rsid w:val="26436058"/>
    <w:rsid w:val="26475899"/>
    <w:rsid w:val="26A56382"/>
    <w:rsid w:val="270A1F2A"/>
    <w:rsid w:val="282E3662"/>
    <w:rsid w:val="28A06D48"/>
    <w:rsid w:val="28D038A6"/>
    <w:rsid w:val="2B3C0E26"/>
    <w:rsid w:val="2C00109F"/>
    <w:rsid w:val="2C467876"/>
    <w:rsid w:val="2D7A47C6"/>
    <w:rsid w:val="2F64119B"/>
    <w:rsid w:val="2FAE4FA2"/>
    <w:rsid w:val="2FB35E69"/>
    <w:rsid w:val="30176421"/>
    <w:rsid w:val="316658A7"/>
    <w:rsid w:val="32776E81"/>
    <w:rsid w:val="32A44B0F"/>
    <w:rsid w:val="332F1577"/>
    <w:rsid w:val="337F66B3"/>
    <w:rsid w:val="338E38AC"/>
    <w:rsid w:val="34486D34"/>
    <w:rsid w:val="34ED63DB"/>
    <w:rsid w:val="34F7726A"/>
    <w:rsid w:val="36A7090F"/>
    <w:rsid w:val="36B907B2"/>
    <w:rsid w:val="375A1DEC"/>
    <w:rsid w:val="381E3101"/>
    <w:rsid w:val="38975507"/>
    <w:rsid w:val="38DC1084"/>
    <w:rsid w:val="38E36E62"/>
    <w:rsid w:val="38EA2D39"/>
    <w:rsid w:val="38EA584D"/>
    <w:rsid w:val="399E0F9E"/>
    <w:rsid w:val="3AF85C42"/>
    <w:rsid w:val="3B373BAD"/>
    <w:rsid w:val="3B63302D"/>
    <w:rsid w:val="3B77292C"/>
    <w:rsid w:val="3BBC0FAF"/>
    <w:rsid w:val="3BFD0DE5"/>
    <w:rsid w:val="3C1B5BEA"/>
    <w:rsid w:val="3C6727F7"/>
    <w:rsid w:val="3D363C36"/>
    <w:rsid w:val="3EAA0C7C"/>
    <w:rsid w:val="3ECF4991"/>
    <w:rsid w:val="3F447BDE"/>
    <w:rsid w:val="40553627"/>
    <w:rsid w:val="41D8095B"/>
    <w:rsid w:val="43877E89"/>
    <w:rsid w:val="444C3D3F"/>
    <w:rsid w:val="458C4E2E"/>
    <w:rsid w:val="466200E6"/>
    <w:rsid w:val="469854EA"/>
    <w:rsid w:val="46C20DDE"/>
    <w:rsid w:val="47512E0B"/>
    <w:rsid w:val="481B6DCD"/>
    <w:rsid w:val="48216720"/>
    <w:rsid w:val="48F74BC1"/>
    <w:rsid w:val="4A2103E0"/>
    <w:rsid w:val="4A60101F"/>
    <w:rsid w:val="4AFD48C9"/>
    <w:rsid w:val="4B032AEF"/>
    <w:rsid w:val="4B904638"/>
    <w:rsid w:val="4C28100A"/>
    <w:rsid w:val="4CAA4104"/>
    <w:rsid w:val="4CBA052D"/>
    <w:rsid w:val="4E9D556B"/>
    <w:rsid w:val="4EC31349"/>
    <w:rsid w:val="4FB007F2"/>
    <w:rsid w:val="4FCE0B00"/>
    <w:rsid w:val="505C0583"/>
    <w:rsid w:val="50A50F59"/>
    <w:rsid w:val="517D486D"/>
    <w:rsid w:val="51935CD7"/>
    <w:rsid w:val="52065E75"/>
    <w:rsid w:val="52EF677C"/>
    <w:rsid w:val="53794AE9"/>
    <w:rsid w:val="53A23B10"/>
    <w:rsid w:val="53AF3AC4"/>
    <w:rsid w:val="54B666D6"/>
    <w:rsid w:val="55FB54DE"/>
    <w:rsid w:val="56034E45"/>
    <w:rsid w:val="561609D5"/>
    <w:rsid w:val="56D7393C"/>
    <w:rsid w:val="57534841"/>
    <w:rsid w:val="577A3F71"/>
    <w:rsid w:val="57DF3856"/>
    <w:rsid w:val="57E22C99"/>
    <w:rsid w:val="57FC2539"/>
    <w:rsid w:val="58231CB8"/>
    <w:rsid w:val="584C479F"/>
    <w:rsid w:val="59462F02"/>
    <w:rsid w:val="5B442F8E"/>
    <w:rsid w:val="5B990E56"/>
    <w:rsid w:val="5BBF386C"/>
    <w:rsid w:val="5BCF571D"/>
    <w:rsid w:val="5BDB4960"/>
    <w:rsid w:val="5C3612C5"/>
    <w:rsid w:val="5C641296"/>
    <w:rsid w:val="5CB2393D"/>
    <w:rsid w:val="5D237E36"/>
    <w:rsid w:val="5D525A21"/>
    <w:rsid w:val="5D8F466B"/>
    <w:rsid w:val="5E4B3692"/>
    <w:rsid w:val="5EAA421E"/>
    <w:rsid w:val="5EC26B65"/>
    <w:rsid w:val="5ECD013E"/>
    <w:rsid w:val="5F1119B5"/>
    <w:rsid w:val="5F6F1993"/>
    <w:rsid w:val="5FB263B7"/>
    <w:rsid w:val="601A2A62"/>
    <w:rsid w:val="60542387"/>
    <w:rsid w:val="60A578F9"/>
    <w:rsid w:val="61FE102A"/>
    <w:rsid w:val="62D34322"/>
    <w:rsid w:val="63250781"/>
    <w:rsid w:val="635E301D"/>
    <w:rsid w:val="63B131AB"/>
    <w:rsid w:val="63C943BF"/>
    <w:rsid w:val="6450272B"/>
    <w:rsid w:val="64B96878"/>
    <w:rsid w:val="660A6CF6"/>
    <w:rsid w:val="66C57C55"/>
    <w:rsid w:val="66F93A8A"/>
    <w:rsid w:val="6786144F"/>
    <w:rsid w:val="69095802"/>
    <w:rsid w:val="69112CDD"/>
    <w:rsid w:val="6A3C4E04"/>
    <w:rsid w:val="6B000E12"/>
    <w:rsid w:val="6C4C248C"/>
    <w:rsid w:val="6C955930"/>
    <w:rsid w:val="6D542E2C"/>
    <w:rsid w:val="6D9C1A14"/>
    <w:rsid w:val="6DB4611F"/>
    <w:rsid w:val="6DD901EC"/>
    <w:rsid w:val="6E4E40C5"/>
    <w:rsid w:val="6F5E741A"/>
    <w:rsid w:val="6F750C4F"/>
    <w:rsid w:val="6F822668"/>
    <w:rsid w:val="6F9D5C29"/>
    <w:rsid w:val="70283E96"/>
    <w:rsid w:val="70644017"/>
    <w:rsid w:val="7083345F"/>
    <w:rsid w:val="70FB0C3D"/>
    <w:rsid w:val="71257C6E"/>
    <w:rsid w:val="73746FF3"/>
    <w:rsid w:val="73B14812"/>
    <w:rsid w:val="740A7A6B"/>
    <w:rsid w:val="74247F66"/>
    <w:rsid w:val="74664159"/>
    <w:rsid w:val="74C03801"/>
    <w:rsid w:val="74C16F12"/>
    <w:rsid w:val="74E51A84"/>
    <w:rsid w:val="75D05978"/>
    <w:rsid w:val="75DB4124"/>
    <w:rsid w:val="75ED5181"/>
    <w:rsid w:val="763550FE"/>
    <w:rsid w:val="76CC38F8"/>
    <w:rsid w:val="76D60B5B"/>
    <w:rsid w:val="772438E8"/>
    <w:rsid w:val="777855E8"/>
    <w:rsid w:val="78096FFD"/>
    <w:rsid w:val="7ADE7EF4"/>
    <w:rsid w:val="7AE658A9"/>
    <w:rsid w:val="7B4F58E7"/>
    <w:rsid w:val="7BCF0265"/>
    <w:rsid w:val="7BD61B65"/>
    <w:rsid w:val="7CC57D0D"/>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1"/>
    <w:basedOn w:val="5"/>
    <w:next w:val="1"/>
    <w:qFormat/>
    <w:uiPriority w:val="0"/>
    <w:pPr>
      <w:spacing w:line="576" w:lineRule="auto"/>
      <w:outlineLvl w:val="0"/>
    </w:pPr>
    <w:rPr>
      <w:kern w:val="44"/>
      <w:sz w:val="44"/>
    </w:rPr>
  </w:style>
  <w:style w:type="paragraph" w:styleId="6">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style>
  <w:style w:type="paragraph" w:styleId="3">
    <w:name w:val="Body Text"/>
    <w:basedOn w:val="1"/>
    <w:next w:val="1"/>
    <w:qFormat/>
    <w:uiPriority w:val="0"/>
    <w:pPr>
      <w:spacing w:line="360" w:lineRule="auto"/>
    </w:pPr>
    <w:rPr>
      <w:szCs w:val="20"/>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toc 5"/>
    <w:basedOn w:val="1"/>
    <w:next w:val="1"/>
    <w:qFormat/>
    <w:uiPriority w:val="0"/>
    <w:pPr>
      <w:ind w:left="1680"/>
    </w:pPr>
  </w:style>
  <w:style w:type="paragraph" w:styleId="10">
    <w:name w:val="Plain Text"/>
    <w:basedOn w:val="1"/>
    <w:next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样式 文字 + 首行缩进:  2 字符3"/>
    <w:basedOn w:val="1"/>
    <w:qFormat/>
    <w:uiPriority w:val="0"/>
    <w:pPr>
      <w:spacing w:line="360" w:lineRule="auto"/>
      <w:jc w:val="left"/>
    </w:pPr>
    <w:rPr>
      <w:rFonts w:ascii="Calibri" w:hAnsi="Calibri"/>
      <w:sz w:val="28"/>
      <w:szCs w:val="28"/>
    </w:rPr>
  </w:style>
  <w:style w:type="paragraph" w:customStyle="1" w:styleId="18">
    <w:name w:val="表格文字"/>
    <w:basedOn w:val="1"/>
    <w:qFormat/>
    <w:uiPriority w:val="0"/>
    <w:pPr>
      <w:spacing w:before="25" w:after="25"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3633</Words>
  <Characters>3813</Characters>
  <Lines>1</Lines>
  <Paragraphs>1</Paragraphs>
  <TotalTime>15</TotalTime>
  <ScaleCrop>false</ScaleCrop>
  <LinksUpToDate>false</LinksUpToDate>
  <CharactersWithSpaces>3866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秦中喜</cp:lastModifiedBy>
  <cp:lastPrinted>2023-11-06T10:17:00Z</cp:lastPrinted>
  <dcterms:modified xsi:type="dcterms:W3CDTF">2023-11-16T02:53:02Z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4CD676EB1B9747FDA8E87D3437E84432_13</vt:lpwstr>
  </property>
</Properties>
</file>